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B40970" w:rsidRPr="00703FC6" w:rsidRDefault="00B40970" w:rsidP="00B40970">
      <w:pPr>
        <w:pStyle w:val="Prrafodelista"/>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Prrafodelista"/>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626"/>
        <w:gridCol w:w="3179"/>
      </w:tblGrid>
      <w:tr w:rsidR="004218FC" w:rsidRPr="00703FC6" w:rsidTr="004218FC">
        <w:tc>
          <w:tcPr>
            <w:tcW w:w="3033"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26"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179"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4218FC" w:rsidRPr="00703FC6" w:rsidTr="004218FC">
        <w:tc>
          <w:tcPr>
            <w:tcW w:w="3033" w:type="dxa"/>
            <w:vAlign w:val="center"/>
          </w:tcPr>
          <w:p w:rsidR="00E31818" w:rsidRPr="00703FC6" w:rsidRDefault="00E31818" w:rsidP="007D7ED3">
            <w:pPr>
              <w:jc w:val="left"/>
              <w:rPr>
                <w:rFonts w:ascii="Arial" w:hAnsi="Arial" w:cs="Arial"/>
                <w:sz w:val="21"/>
                <w:szCs w:val="21"/>
              </w:rPr>
            </w:pPr>
            <w:r w:rsidRPr="00703FC6">
              <w:rPr>
                <w:rFonts w:ascii="Arial" w:hAnsi="Arial" w:cs="Arial"/>
                <w:sz w:val="21"/>
                <w:szCs w:val="21"/>
              </w:rPr>
              <w:t>Banamex cuenta 33104-6</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179" w:type="dxa"/>
            <w:vAlign w:val="center"/>
          </w:tcPr>
          <w:p w:rsidR="00E31818" w:rsidRPr="00703FC6" w:rsidRDefault="00415958" w:rsidP="00415958">
            <w:pPr>
              <w:jc w:val="right"/>
              <w:rPr>
                <w:rFonts w:ascii="Arial" w:hAnsi="Arial" w:cs="Arial"/>
                <w:sz w:val="21"/>
                <w:szCs w:val="21"/>
              </w:rPr>
            </w:pPr>
            <w:r>
              <w:rPr>
                <w:rFonts w:ascii="Arial" w:hAnsi="Arial" w:cs="Arial"/>
                <w:sz w:val="21"/>
                <w:szCs w:val="21"/>
              </w:rPr>
              <w:t>437</w:t>
            </w:r>
            <w:r w:rsidR="002B1184">
              <w:rPr>
                <w:rFonts w:ascii="Arial" w:hAnsi="Arial" w:cs="Arial"/>
                <w:sz w:val="21"/>
                <w:szCs w:val="21"/>
              </w:rPr>
              <w:t>,</w:t>
            </w:r>
            <w:r>
              <w:rPr>
                <w:rFonts w:ascii="Arial" w:hAnsi="Arial" w:cs="Arial"/>
                <w:sz w:val="21"/>
                <w:szCs w:val="21"/>
              </w:rPr>
              <w:t>172</w:t>
            </w:r>
            <w:r w:rsidR="002B1184">
              <w:rPr>
                <w:rFonts w:ascii="Arial" w:hAnsi="Arial" w:cs="Arial"/>
                <w:sz w:val="21"/>
                <w:szCs w:val="21"/>
              </w:rPr>
              <w:t>.</w:t>
            </w:r>
            <w:r>
              <w:rPr>
                <w:rFonts w:ascii="Arial" w:hAnsi="Arial" w:cs="Arial"/>
                <w:sz w:val="21"/>
                <w:szCs w:val="21"/>
              </w:rPr>
              <w:t>64</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179" w:type="dxa"/>
            <w:vAlign w:val="center"/>
          </w:tcPr>
          <w:p w:rsidR="00E31818" w:rsidRPr="0091668E" w:rsidRDefault="00415958" w:rsidP="00415958">
            <w:pPr>
              <w:jc w:val="right"/>
              <w:rPr>
                <w:rFonts w:ascii="Arial" w:hAnsi="Arial" w:cs="Arial"/>
                <w:sz w:val="21"/>
                <w:szCs w:val="21"/>
              </w:rPr>
            </w:pPr>
            <w:r>
              <w:rPr>
                <w:rFonts w:ascii="Arial" w:hAnsi="Arial" w:cs="Arial"/>
                <w:sz w:val="21"/>
                <w:szCs w:val="21"/>
              </w:rPr>
              <w:t>306</w:t>
            </w:r>
            <w:r w:rsidR="002B1184">
              <w:rPr>
                <w:rFonts w:ascii="Arial" w:hAnsi="Arial" w:cs="Arial"/>
                <w:sz w:val="21"/>
                <w:szCs w:val="21"/>
              </w:rPr>
              <w:t>,</w:t>
            </w:r>
            <w:r>
              <w:rPr>
                <w:rFonts w:ascii="Arial" w:hAnsi="Arial" w:cs="Arial"/>
                <w:sz w:val="21"/>
                <w:szCs w:val="21"/>
              </w:rPr>
              <w:t>726</w:t>
            </w:r>
            <w:r w:rsidR="002B1184">
              <w:rPr>
                <w:rFonts w:ascii="Arial" w:hAnsi="Arial" w:cs="Arial"/>
                <w:sz w:val="21"/>
                <w:szCs w:val="21"/>
              </w:rPr>
              <w:t>.</w:t>
            </w:r>
            <w:r>
              <w:rPr>
                <w:rFonts w:ascii="Arial" w:hAnsi="Arial" w:cs="Arial"/>
                <w:sz w:val="21"/>
                <w:szCs w:val="21"/>
              </w:rPr>
              <w:t>59</w:t>
            </w:r>
          </w:p>
        </w:tc>
      </w:tr>
      <w:tr w:rsidR="004218FC" w:rsidRPr="00703FC6" w:rsidTr="004218FC">
        <w:tc>
          <w:tcPr>
            <w:tcW w:w="3033"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26"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179" w:type="dxa"/>
            <w:vAlign w:val="center"/>
          </w:tcPr>
          <w:p w:rsidR="00E31818" w:rsidRPr="0091668E" w:rsidRDefault="00415958" w:rsidP="00415958">
            <w:pPr>
              <w:jc w:val="right"/>
              <w:rPr>
                <w:rFonts w:ascii="Arial" w:hAnsi="Arial" w:cs="Arial"/>
                <w:sz w:val="21"/>
                <w:szCs w:val="21"/>
              </w:rPr>
            </w:pPr>
            <w:r>
              <w:rPr>
                <w:rFonts w:ascii="Arial" w:hAnsi="Arial" w:cs="Arial"/>
                <w:sz w:val="21"/>
                <w:szCs w:val="21"/>
              </w:rPr>
              <w:t>8</w:t>
            </w:r>
            <w:r w:rsidR="002B1184">
              <w:rPr>
                <w:rFonts w:ascii="Arial" w:hAnsi="Arial" w:cs="Arial"/>
                <w:sz w:val="21"/>
                <w:szCs w:val="21"/>
              </w:rPr>
              <w:t>,</w:t>
            </w:r>
            <w:r>
              <w:rPr>
                <w:rFonts w:ascii="Arial" w:hAnsi="Arial" w:cs="Arial"/>
                <w:sz w:val="21"/>
                <w:szCs w:val="21"/>
              </w:rPr>
              <w:t>556</w:t>
            </w:r>
            <w:r w:rsidR="002B1184">
              <w:rPr>
                <w:rFonts w:ascii="Arial" w:hAnsi="Arial" w:cs="Arial"/>
                <w:sz w:val="21"/>
                <w:szCs w:val="21"/>
              </w:rPr>
              <w:t>,25</w:t>
            </w:r>
            <w:r>
              <w:rPr>
                <w:rFonts w:ascii="Arial" w:hAnsi="Arial" w:cs="Arial"/>
                <w:sz w:val="21"/>
                <w:szCs w:val="21"/>
              </w:rPr>
              <w:t>3</w:t>
            </w:r>
            <w:r w:rsidR="002B1184">
              <w:rPr>
                <w:rFonts w:ascii="Arial" w:hAnsi="Arial" w:cs="Arial"/>
                <w:sz w:val="21"/>
                <w:szCs w:val="21"/>
              </w:rPr>
              <w:t>.</w:t>
            </w:r>
            <w:r>
              <w:rPr>
                <w:rFonts w:ascii="Arial" w:hAnsi="Arial" w:cs="Arial"/>
                <w:sz w:val="21"/>
                <w:szCs w:val="21"/>
              </w:rPr>
              <w:t>8</w:t>
            </w:r>
            <w:r w:rsidR="002B1184">
              <w:rPr>
                <w:rFonts w:ascii="Arial" w:hAnsi="Arial" w:cs="Arial"/>
                <w:sz w:val="21"/>
                <w:szCs w:val="21"/>
              </w:rPr>
              <w:t>5</w:t>
            </w:r>
          </w:p>
        </w:tc>
      </w:tr>
      <w:tr w:rsidR="004218FC" w:rsidRPr="00703FC6" w:rsidTr="004218FC">
        <w:tc>
          <w:tcPr>
            <w:tcW w:w="5659"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179" w:type="dxa"/>
            <w:vAlign w:val="center"/>
          </w:tcPr>
          <w:p w:rsidR="00E04AEB" w:rsidRPr="00C718C9" w:rsidRDefault="00415958" w:rsidP="00415958">
            <w:pPr>
              <w:spacing w:before="100" w:after="100"/>
              <w:jc w:val="right"/>
              <w:rPr>
                <w:rFonts w:ascii="Arial" w:hAnsi="Arial" w:cs="Arial"/>
                <w:b/>
                <w:sz w:val="21"/>
                <w:szCs w:val="21"/>
              </w:rPr>
            </w:pPr>
            <w:r>
              <w:rPr>
                <w:rFonts w:ascii="Arial" w:hAnsi="Arial" w:cs="Arial"/>
                <w:b/>
                <w:sz w:val="21"/>
                <w:szCs w:val="21"/>
              </w:rPr>
              <w:t>9</w:t>
            </w:r>
            <w:r w:rsidR="002B1184">
              <w:rPr>
                <w:rFonts w:ascii="Arial" w:hAnsi="Arial" w:cs="Arial"/>
                <w:b/>
                <w:sz w:val="21"/>
                <w:szCs w:val="21"/>
              </w:rPr>
              <w:t>,</w:t>
            </w:r>
            <w:r>
              <w:rPr>
                <w:rFonts w:ascii="Arial" w:hAnsi="Arial" w:cs="Arial"/>
                <w:b/>
                <w:sz w:val="21"/>
                <w:szCs w:val="21"/>
              </w:rPr>
              <w:t>300</w:t>
            </w:r>
            <w:r w:rsidR="002B1184">
              <w:rPr>
                <w:rFonts w:ascii="Arial" w:hAnsi="Arial" w:cs="Arial"/>
                <w:b/>
                <w:sz w:val="21"/>
                <w:szCs w:val="21"/>
              </w:rPr>
              <w:t>,153.</w:t>
            </w:r>
            <w:r>
              <w:rPr>
                <w:rFonts w:ascii="Arial" w:hAnsi="Arial" w:cs="Arial"/>
                <w:b/>
                <w:sz w:val="21"/>
                <w:szCs w:val="21"/>
              </w:rPr>
              <w:t>08</w:t>
            </w:r>
          </w:p>
        </w:tc>
      </w:tr>
      <w:tr w:rsidR="004218FC" w:rsidRPr="00703FC6" w:rsidTr="004218FC">
        <w:tc>
          <w:tcPr>
            <w:tcW w:w="5659" w:type="dxa"/>
            <w:gridSpan w:val="2"/>
            <w:vAlign w:val="center"/>
          </w:tcPr>
          <w:p w:rsidR="009C099C" w:rsidRPr="00703FC6" w:rsidRDefault="009C099C" w:rsidP="00CC7CEA">
            <w:pPr>
              <w:jc w:val="right"/>
              <w:rPr>
                <w:rFonts w:ascii="Arial" w:hAnsi="Arial" w:cs="Arial"/>
                <w:b/>
                <w:sz w:val="21"/>
                <w:szCs w:val="21"/>
              </w:rPr>
            </w:pPr>
          </w:p>
        </w:tc>
        <w:tc>
          <w:tcPr>
            <w:tcW w:w="3179"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Prrafodelista"/>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4218FC">
        <w:rPr>
          <w:rFonts w:ascii="Arial" w:hAnsi="Arial" w:cs="Arial"/>
          <w:sz w:val="21"/>
          <w:szCs w:val="21"/>
        </w:rPr>
        <w:t>pendientes de pago, y</w:t>
      </w:r>
      <w:r w:rsidR="00E31818" w:rsidRPr="00703FC6">
        <w:rPr>
          <w:rFonts w:ascii="Arial" w:hAnsi="Arial" w:cs="Arial"/>
          <w:sz w:val="21"/>
          <w:szCs w:val="21"/>
        </w:rPr>
        <w:t xml:space="preserve"> está conformada por:</w:t>
      </w:r>
    </w:p>
    <w:p w:rsidR="009C099C" w:rsidRPr="00703FC6" w:rsidRDefault="009C099C" w:rsidP="00CC7CEA">
      <w:pPr>
        <w:rPr>
          <w:rFonts w:ascii="Arial" w:hAnsi="Arial" w:cs="Arial"/>
          <w:sz w:val="21"/>
          <w:szCs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628"/>
        <w:gridCol w:w="3173"/>
      </w:tblGrid>
      <w:tr w:rsidR="004218FC" w:rsidRPr="00703FC6" w:rsidTr="004218FC">
        <w:tc>
          <w:tcPr>
            <w:tcW w:w="3037"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28"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173"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7D7ED3" w:rsidRPr="00703FC6" w:rsidTr="004218FC">
        <w:tc>
          <w:tcPr>
            <w:tcW w:w="3037" w:type="dxa"/>
            <w:vAlign w:val="center"/>
          </w:tcPr>
          <w:p w:rsidR="007D7ED3" w:rsidRPr="00703FC6" w:rsidRDefault="007D7ED3" w:rsidP="007D7ED3">
            <w:pPr>
              <w:jc w:val="left"/>
              <w:rPr>
                <w:rFonts w:ascii="Arial" w:hAnsi="Arial" w:cs="Arial"/>
                <w:sz w:val="21"/>
                <w:szCs w:val="21"/>
              </w:rPr>
            </w:pPr>
            <w:r>
              <w:rPr>
                <w:rFonts w:ascii="Arial" w:hAnsi="Arial" w:cs="Arial"/>
                <w:sz w:val="21"/>
                <w:szCs w:val="21"/>
              </w:rPr>
              <w:t>Cuentas por cobrar a Corto Plazo</w:t>
            </w:r>
          </w:p>
        </w:tc>
        <w:tc>
          <w:tcPr>
            <w:tcW w:w="2628" w:type="dxa"/>
            <w:vAlign w:val="center"/>
          </w:tcPr>
          <w:p w:rsidR="007D7ED3" w:rsidRPr="00703FC6" w:rsidRDefault="00415958" w:rsidP="00C23A10">
            <w:pPr>
              <w:jc w:val="center"/>
              <w:rPr>
                <w:rFonts w:ascii="Arial" w:hAnsi="Arial" w:cs="Arial"/>
                <w:sz w:val="21"/>
                <w:szCs w:val="21"/>
              </w:rPr>
            </w:pPr>
            <w:r>
              <w:rPr>
                <w:rFonts w:ascii="Arial" w:hAnsi="Arial" w:cs="Arial"/>
                <w:sz w:val="21"/>
                <w:szCs w:val="21"/>
              </w:rPr>
              <w:t>Subsidio pendiente de pago</w:t>
            </w:r>
            <w:r w:rsidR="007D7ED3">
              <w:rPr>
                <w:rFonts w:ascii="Arial" w:hAnsi="Arial" w:cs="Arial"/>
                <w:sz w:val="21"/>
                <w:szCs w:val="21"/>
              </w:rPr>
              <w:t xml:space="preserve"> 2017</w:t>
            </w:r>
          </w:p>
        </w:tc>
        <w:tc>
          <w:tcPr>
            <w:tcW w:w="3173" w:type="dxa"/>
            <w:vAlign w:val="center"/>
          </w:tcPr>
          <w:p w:rsidR="007D7ED3" w:rsidRDefault="00415958" w:rsidP="00415958">
            <w:pPr>
              <w:jc w:val="right"/>
              <w:rPr>
                <w:rFonts w:ascii="Arial" w:hAnsi="Arial" w:cs="Arial"/>
                <w:sz w:val="21"/>
                <w:szCs w:val="21"/>
              </w:rPr>
            </w:pPr>
            <w:r>
              <w:rPr>
                <w:rFonts w:ascii="Arial" w:hAnsi="Arial" w:cs="Arial"/>
                <w:sz w:val="21"/>
                <w:szCs w:val="21"/>
              </w:rPr>
              <w:t>4,</w:t>
            </w:r>
            <w:r w:rsidR="002B1184">
              <w:rPr>
                <w:rFonts w:ascii="Arial" w:hAnsi="Arial" w:cs="Arial"/>
                <w:sz w:val="21"/>
                <w:szCs w:val="21"/>
              </w:rPr>
              <w:t>3</w:t>
            </w:r>
            <w:r>
              <w:rPr>
                <w:rFonts w:ascii="Arial" w:hAnsi="Arial" w:cs="Arial"/>
                <w:sz w:val="21"/>
                <w:szCs w:val="21"/>
              </w:rPr>
              <w:t>2</w:t>
            </w:r>
            <w:r w:rsidR="002B1184">
              <w:rPr>
                <w:rFonts w:ascii="Arial" w:hAnsi="Arial" w:cs="Arial"/>
                <w:sz w:val="21"/>
                <w:szCs w:val="21"/>
              </w:rPr>
              <w:t>8,</w:t>
            </w:r>
            <w:r>
              <w:rPr>
                <w:rFonts w:ascii="Arial" w:hAnsi="Arial" w:cs="Arial"/>
                <w:sz w:val="21"/>
                <w:szCs w:val="21"/>
              </w:rPr>
              <w:t>346</w:t>
            </w:r>
            <w:r w:rsidR="002B1184">
              <w:rPr>
                <w:rFonts w:ascii="Arial" w:hAnsi="Arial" w:cs="Arial"/>
                <w:sz w:val="21"/>
                <w:szCs w:val="21"/>
              </w:rPr>
              <w:t>.</w:t>
            </w:r>
            <w:r>
              <w:rPr>
                <w:rFonts w:ascii="Arial" w:hAnsi="Arial" w:cs="Arial"/>
                <w:sz w:val="21"/>
                <w:szCs w:val="21"/>
              </w:rPr>
              <w:t>0</w:t>
            </w:r>
            <w:r w:rsidR="002B1184">
              <w:rPr>
                <w:rFonts w:ascii="Arial" w:hAnsi="Arial" w:cs="Arial"/>
                <w:sz w:val="21"/>
                <w:szCs w:val="21"/>
              </w:rPr>
              <w:t>0</w:t>
            </w:r>
          </w:p>
        </w:tc>
      </w:tr>
      <w:tr w:rsidR="004218FC" w:rsidRPr="00703FC6" w:rsidTr="004218FC">
        <w:tc>
          <w:tcPr>
            <w:tcW w:w="3037"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28"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173" w:type="dxa"/>
            <w:vAlign w:val="center"/>
          </w:tcPr>
          <w:p w:rsidR="00BF5C54" w:rsidRDefault="00415958" w:rsidP="00415958">
            <w:pPr>
              <w:jc w:val="right"/>
              <w:rPr>
                <w:rFonts w:ascii="Arial" w:hAnsi="Arial" w:cs="Arial"/>
                <w:sz w:val="21"/>
                <w:szCs w:val="21"/>
              </w:rPr>
            </w:pPr>
            <w:r>
              <w:rPr>
                <w:rFonts w:ascii="Arial" w:hAnsi="Arial" w:cs="Arial"/>
                <w:sz w:val="21"/>
                <w:szCs w:val="21"/>
              </w:rPr>
              <w:t>43</w:t>
            </w:r>
            <w:r w:rsidR="002B1184">
              <w:rPr>
                <w:rFonts w:ascii="Arial" w:hAnsi="Arial" w:cs="Arial"/>
                <w:sz w:val="21"/>
                <w:szCs w:val="21"/>
              </w:rPr>
              <w:t>,</w:t>
            </w:r>
            <w:r>
              <w:rPr>
                <w:rFonts w:ascii="Arial" w:hAnsi="Arial" w:cs="Arial"/>
                <w:sz w:val="21"/>
                <w:szCs w:val="21"/>
              </w:rPr>
              <w:t>470</w:t>
            </w:r>
            <w:r w:rsidR="002B1184">
              <w:rPr>
                <w:rFonts w:ascii="Arial" w:hAnsi="Arial" w:cs="Arial"/>
                <w:sz w:val="21"/>
                <w:szCs w:val="21"/>
              </w:rPr>
              <w:t>.2</w:t>
            </w:r>
            <w:r>
              <w:rPr>
                <w:rFonts w:ascii="Arial" w:hAnsi="Arial" w:cs="Arial"/>
                <w:sz w:val="21"/>
                <w:szCs w:val="21"/>
              </w:rPr>
              <w:t>2</w:t>
            </w:r>
          </w:p>
        </w:tc>
      </w:tr>
      <w:tr w:rsidR="004218FC" w:rsidRPr="00703FC6" w:rsidTr="004218FC">
        <w:tc>
          <w:tcPr>
            <w:tcW w:w="5665"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173" w:type="dxa"/>
            <w:vAlign w:val="center"/>
          </w:tcPr>
          <w:p w:rsidR="00C853E7" w:rsidRPr="00BC71C8" w:rsidRDefault="00415958" w:rsidP="00415958">
            <w:pPr>
              <w:jc w:val="right"/>
              <w:rPr>
                <w:rFonts w:ascii="Arial" w:hAnsi="Arial" w:cs="Arial"/>
                <w:b/>
                <w:sz w:val="21"/>
                <w:szCs w:val="21"/>
              </w:rPr>
            </w:pPr>
            <w:r>
              <w:rPr>
                <w:rFonts w:ascii="Arial" w:hAnsi="Arial" w:cs="Arial"/>
                <w:b/>
                <w:sz w:val="21"/>
                <w:szCs w:val="21"/>
              </w:rPr>
              <w:t>4,</w:t>
            </w:r>
            <w:r w:rsidR="007D7ED3">
              <w:rPr>
                <w:rFonts w:ascii="Arial" w:hAnsi="Arial" w:cs="Arial"/>
                <w:b/>
                <w:sz w:val="21"/>
                <w:szCs w:val="21"/>
              </w:rPr>
              <w:fldChar w:fldCharType="begin"/>
            </w:r>
            <w:r w:rsidR="007D7ED3">
              <w:rPr>
                <w:rFonts w:ascii="Arial" w:hAnsi="Arial" w:cs="Arial"/>
                <w:b/>
                <w:sz w:val="21"/>
                <w:szCs w:val="21"/>
              </w:rPr>
              <w:instrText xml:space="preserve"> =SUM(ABOVE) </w:instrText>
            </w:r>
            <w:r w:rsidR="007D7ED3">
              <w:rPr>
                <w:rFonts w:ascii="Arial" w:hAnsi="Arial" w:cs="Arial"/>
                <w:b/>
                <w:sz w:val="21"/>
                <w:szCs w:val="21"/>
              </w:rPr>
              <w:fldChar w:fldCharType="separate"/>
            </w:r>
            <w:r>
              <w:rPr>
                <w:rFonts w:ascii="Arial" w:hAnsi="Arial" w:cs="Arial"/>
                <w:b/>
                <w:noProof/>
                <w:sz w:val="21"/>
                <w:szCs w:val="21"/>
              </w:rPr>
              <w:t>371</w:t>
            </w:r>
            <w:r w:rsidR="002B1184">
              <w:rPr>
                <w:rFonts w:ascii="Arial" w:hAnsi="Arial" w:cs="Arial"/>
                <w:b/>
                <w:noProof/>
                <w:sz w:val="21"/>
                <w:szCs w:val="21"/>
              </w:rPr>
              <w:t>,</w:t>
            </w:r>
            <w:r>
              <w:rPr>
                <w:rFonts w:ascii="Arial" w:hAnsi="Arial" w:cs="Arial"/>
                <w:b/>
                <w:noProof/>
                <w:sz w:val="21"/>
                <w:szCs w:val="21"/>
              </w:rPr>
              <w:t>81</w:t>
            </w:r>
            <w:r w:rsidR="002B1184">
              <w:rPr>
                <w:rFonts w:ascii="Arial" w:hAnsi="Arial" w:cs="Arial"/>
                <w:b/>
                <w:noProof/>
                <w:sz w:val="21"/>
                <w:szCs w:val="21"/>
              </w:rPr>
              <w:t>6.</w:t>
            </w:r>
            <w:r>
              <w:rPr>
                <w:rFonts w:ascii="Arial" w:hAnsi="Arial" w:cs="Arial"/>
                <w:b/>
                <w:noProof/>
                <w:sz w:val="21"/>
                <w:szCs w:val="21"/>
              </w:rPr>
              <w:t>22</w:t>
            </w:r>
            <w:r w:rsidR="007D7ED3">
              <w:rPr>
                <w:rFonts w:ascii="Arial" w:hAnsi="Arial" w:cs="Arial"/>
                <w:b/>
                <w:sz w:val="21"/>
                <w:szCs w:val="21"/>
              </w:rPr>
              <w:fldChar w:fldCharType="end"/>
            </w:r>
          </w:p>
        </w:tc>
      </w:tr>
    </w:tbl>
    <w:p w:rsidR="00CC7CEA" w:rsidRPr="00703FC6" w:rsidRDefault="000864F6" w:rsidP="000864F6">
      <w:pPr>
        <w:pStyle w:val="Prrafodelista"/>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lastRenderedPageBreak/>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31,697,707.68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6,379,074.90</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3,256,953.46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7D7ED3" w:rsidP="007D7ED3">
            <w:pPr>
              <w:jc w:val="right"/>
              <w:rPr>
                <w:rFonts w:ascii="Arial" w:hAnsi="Arial" w:cs="Arial"/>
                <w:sz w:val="21"/>
                <w:szCs w:val="21"/>
              </w:rPr>
            </w:pPr>
            <w:r>
              <w:rPr>
                <w:rFonts w:ascii="Arial" w:hAnsi="Arial" w:cs="Arial"/>
                <w:sz w:val="21"/>
                <w:szCs w:val="21"/>
              </w:rPr>
              <w:t>16,500.00</w:t>
            </w:r>
          </w:p>
        </w:tc>
      </w:tr>
      <w:tr w:rsidR="00E04EED" w:rsidRPr="00703FC6" w:rsidTr="00863238">
        <w:tc>
          <w:tcPr>
            <w:tcW w:w="4503" w:type="dxa"/>
            <w:vAlign w:val="center"/>
          </w:tcPr>
          <w:p w:rsidR="00E04EED" w:rsidRPr="00E04EED" w:rsidRDefault="00E04EED" w:rsidP="00E04EED">
            <w:pPr>
              <w:jc w:val="right"/>
              <w:rPr>
                <w:rFonts w:ascii="Arial" w:hAnsi="Arial" w:cs="Arial"/>
                <w:b/>
                <w:sz w:val="21"/>
                <w:szCs w:val="21"/>
              </w:rPr>
            </w:pPr>
            <w:r w:rsidRPr="00E04EED">
              <w:rPr>
                <w:rFonts w:ascii="Arial" w:hAnsi="Arial" w:cs="Arial"/>
                <w:b/>
                <w:sz w:val="21"/>
                <w:szCs w:val="21"/>
              </w:rPr>
              <w:t>Suma</w:t>
            </w:r>
          </w:p>
        </w:tc>
        <w:tc>
          <w:tcPr>
            <w:tcW w:w="3251" w:type="dxa"/>
            <w:vAlign w:val="center"/>
          </w:tcPr>
          <w:p w:rsidR="00E04EED" w:rsidRPr="00E04EED" w:rsidRDefault="007D7ED3" w:rsidP="007D7ED3">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41,350,236.04</w:t>
            </w:r>
            <w:r>
              <w:rPr>
                <w:rFonts w:ascii="Arial" w:hAnsi="Arial" w:cs="Arial"/>
                <w:b/>
                <w:sz w:val="21"/>
                <w:szCs w:val="21"/>
              </w:rPr>
              <w:fldChar w:fldCharType="end"/>
            </w:r>
          </w:p>
        </w:tc>
      </w:tr>
    </w:tbl>
    <w:p w:rsidR="000864F6" w:rsidRPr="00703FC6" w:rsidRDefault="00112501" w:rsidP="00112501">
      <w:pPr>
        <w:pStyle w:val="Prrafodelista"/>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D12F9C">
        <w:rPr>
          <w:rFonts w:ascii="Arial" w:hAnsi="Arial" w:cs="Arial"/>
          <w:sz w:val="21"/>
          <w:szCs w:val="21"/>
        </w:rPr>
        <w:t>7</w:t>
      </w:r>
      <w:r w:rsidRPr="00703FC6">
        <w:rPr>
          <w:rFonts w:ascii="Arial" w:hAnsi="Arial" w:cs="Arial"/>
          <w:sz w:val="21"/>
          <w:szCs w:val="21"/>
        </w:rPr>
        <w:t xml:space="preserve"> serán los siguientes: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1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2C0B61">
        <w:rPr>
          <w:rFonts w:ascii="Arial" w:hAnsi="Arial" w:cs="Arial"/>
          <w:sz w:val="21"/>
          <w:szCs w:val="21"/>
        </w:rPr>
        <w:t>3</w:t>
      </w:r>
      <w:r w:rsidR="00415958">
        <w:rPr>
          <w:rFonts w:ascii="Arial" w:hAnsi="Arial" w:cs="Arial"/>
          <w:sz w:val="21"/>
          <w:szCs w:val="21"/>
        </w:rPr>
        <w:t>1</w:t>
      </w:r>
      <w:r w:rsidR="002C0B61">
        <w:rPr>
          <w:rFonts w:ascii="Arial" w:hAnsi="Arial" w:cs="Arial"/>
          <w:sz w:val="21"/>
          <w:szCs w:val="21"/>
        </w:rPr>
        <w:t xml:space="preserve"> de </w:t>
      </w:r>
      <w:r w:rsidR="00415958">
        <w:rPr>
          <w:rFonts w:ascii="Arial" w:hAnsi="Arial" w:cs="Arial"/>
          <w:sz w:val="21"/>
          <w:szCs w:val="21"/>
        </w:rPr>
        <w:t>dic</w:t>
      </w:r>
      <w:r w:rsidR="002B1184">
        <w:rPr>
          <w:rFonts w:ascii="Arial" w:hAnsi="Arial" w:cs="Arial"/>
          <w:sz w:val="21"/>
          <w:szCs w:val="21"/>
        </w:rPr>
        <w:t>iembre</w:t>
      </w:r>
      <w:r w:rsidR="00A276F1">
        <w:rPr>
          <w:rFonts w:ascii="Arial" w:hAnsi="Arial" w:cs="Arial"/>
          <w:sz w:val="21"/>
          <w:szCs w:val="21"/>
        </w:rPr>
        <w:t xml:space="preserve"> d</w:t>
      </w:r>
      <w:r w:rsidR="006E33CC">
        <w:rPr>
          <w:rFonts w:ascii="Arial" w:hAnsi="Arial" w:cs="Arial"/>
          <w:sz w:val="21"/>
          <w:szCs w:val="21"/>
        </w:rPr>
        <w:t xml:space="preserve">e </w:t>
      </w:r>
      <w:r w:rsidRPr="00703FC6">
        <w:rPr>
          <w:rFonts w:ascii="Arial" w:hAnsi="Arial" w:cs="Arial"/>
          <w:sz w:val="21"/>
          <w:szCs w:val="21"/>
        </w:rPr>
        <w:t>201</w:t>
      </w:r>
      <w:r w:rsidR="00D12F9C">
        <w:rPr>
          <w:rFonts w:ascii="Arial" w:hAnsi="Arial" w:cs="Arial"/>
          <w:sz w:val="21"/>
          <w:szCs w:val="21"/>
        </w:rPr>
        <w:t>7</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415958">
        <w:rPr>
          <w:rFonts w:ascii="Arial" w:hAnsi="Arial" w:cs="Arial"/>
          <w:color w:val="000000" w:themeColor="text1"/>
          <w:sz w:val="21"/>
          <w:szCs w:val="21"/>
        </w:rPr>
        <w:t>20</w:t>
      </w:r>
      <w:r w:rsidR="002B1184">
        <w:rPr>
          <w:rFonts w:ascii="Arial" w:hAnsi="Arial" w:cs="Arial"/>
          <w:color w:val="000000" w:themeColor="text1"/>
          <w:sz w:val="21"/>
          <w:szCs w:val="21"/>
        </w:rPr>
        <w:t>,</w:t>
      </w:r>
      <w:r w:rsidR="00415958">
        <w:rPr>
          <w:rFonts w:ascii="Arial" w:hAnsi="Arial" w:cs="Arial"/>
          <w:color w:val="000000" w:themeColor="text1"/>
          <w:sz w:val="21"/>
          <w:szCs w:val="21"/>
        </w:rPr>
        <w:t>380</w:t>
      </w:r>
      <w:r w:rsidR="002B1184">
        <w:rPr>
          <w:rFonts w:ascii="Arial" w:hAnsi="Arial" w:cs="Arial"/>
          <w:color w:val="000000" w:themeColor="text1"/>
          <w:sz w:val="21"/>
          <w:szCs w:val="21"/>
        </w:rPr>
        <w:t>,</w:t>
      </w:r>
      <w:r w:rsidR="00415958">
        <w:rPr>
          <w:rFonts w:ascii="Arial" w:hAnsi="Arial" w:cs="Arial"/>
          <w:color w:val="000000" w:themeColor="text1"/>
          <w:sz w:val="21"/>
          <w:szCs w:val="21"/>
        </w:rPr>
        <w:t>713</w:t>
      </w:r>
      <w:r w:rsidR="002B1184">
        <w:rPr>
          <w:rFonts w:ascii="Arial" w:hAnsi="Arial" w:cs="Arial"/>
          <w:color w:val="000000" w:themeColor="text1"/>
          <w:sz w:val="21"/>
          <w:szCs w:val="21"/>
        </w:rPr>
        <w:t>.</w:t>
      </w:r>
      <w:r w:rsidR="00415958">
        <w:rPr>
          <w:rFonts w:ascii="Arial" w:hAnsi="Arial" w:cs="Arial"/>
          <w:color w:val="000000" w:themeColor="text1"/>
          <w:sz w:val="21"/>
          <w:szCs w:val="21"/>
        </w:rPr>
        <w:t>08</w:t>
      </w:r>
      <w:r w:rsidR="00A02938">
        <w:rPr>
          <w:rFonts w:ascii="Arial" w:hAnsi="Arial" w:cs="Arial"/>
          <w:color w:val="000000" w:themeColor="text1"/>
          <w:sz w:val="21"/>
          <w:szCs w:val="21"/>
        </w:rPr>
        <w:t>.</w:t>
      </w:r>
    </w:p>
    <w:p w:rsidR="00393F3C" w:rsidRDefault="00703FC6" w:rsidP="00393F3C">
      <w:pPr>
        <w:pStyle w:val="Prrafodelista"/>
        <w:numPr>
          <w:ilvl w:val="0"/>
          <w:numId w:val="2"/>
        </w:numPr>
        <w:rPr>
          <w:rFonts w:ascii="Arial" w:hAnsi="Arial" w:cs="Arial"/>
          <w:sz w:val="21"/>
          <w:szCs w:val="21"/>
        </w:rPr>
      </w:pPr>
      <w:r>
        <w:rPr>
          <w:rFonts w:ascii="Arial" w:hAnsi="Arial" w:cs="Arial"/>
          <w:sz w:val="21"/>
          <w:szCs w:val="21"/>
        </w:rPr>
        <w:t>Otros Activos Diferidos</w:t>
      </w:r>
    </w:p>
    <w:p w:rsidR="009C099C" w:rsidRDefault="00703FC6" w:rsidP="00112501">
      <w:pPr>
        <w:rPr>
          <w:rFonts w:ascii="Arial" w:hAnsi="Arial" w:cs="Arial"/>
          <w:sz w:val="21"/>
          <w:szCs w:val="21"/>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8B43D1" w:rsidRDefault="00B31772" w:rsidP="007E46E9">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C217D1" w:rsidRPr="008B43D1" w:rsidRDefault="0020269C" w:rsidP="007E46E9">
      <w:pPr>
        <w:rPr>
          <w:rFonts w:ascii="Arial" w:hAnsi="Arial" w:cs="Arial"/>
          <w:sz w:val="21"/>
          <w:szCs w:val="21"/>
          <w:u w:val="single"/>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tales como</w:t>
      </w:r>
      <w:r w:rsidR="00610328">
        <w:rPr>
          <w:rFonts w:ascii="Arial" w:hAnsi="Arial" w:cs="Arial"/>
          <w:sz w:val="21"/>
          <w:szCs w:val="21"/>
        </w:rPr>
        <w:t xml:space="preserve">, </w:t>
      </w:r>
      <w:r>
        <w:rPr>
          <w:rFonts w:ascii="Arial" w:hAnsi="Arial" w:cs="Arial"/>
          <w:sz w:val="21"/>
          <w:szCs w:val="21"/>
        </w:rPr>
        <w:t xml:space="preserve">servicio de vigilancia, </w:t>
      </w:r>
      <w:r w:rsidR="00D12F9C">
        <w:rPr>
          <w:rFonts w:ascii="Arial" w:hAnsi="Arial" w:cs="Arial"/>
          <w:sz w:val="21"/>
          <w:szCs w:val="21"/>
        </w:rPr>
        <w:t>servicio de limpieza,</w:t>
      </w:r>
      <w:r w:rsidR="00105D38" w:rsidRPr="004D11EC">
        <w:rPr>
          <w:rFonts w:ascii="Arial" w:hAnsi="Arial" w:cs="Arial"/>
          <w:sz w:val="21"/>
          <w:szCs w:val="21"/>
        </w:rPr>
        <w:t xml:space="preserve"> como se detallan a continuación:</w:t>
      </w:r>
    </w:p>
    <w:p w:rsidR="00CD6952" w:rsidRPr="00823B14" w:rsidRDefault="00A3358B" w:rsidP="006428AA">
      <w:pPr>
        <w:pStyle w:val="Prrafodelista"/>
        <w:numPr>
          <w:ilvl w:val="0"/>
          <w:numId w:val="17"/>
        </w:numPr>
        <w:rPr>
          <w:rFonts w:ascii="Arial" w:hAnsi="Arial" w:cs="Arial"/>
          <w:sz w:val="21"/>
          <w:szCs w:val="21"/>
        </w:rPr>
      </w:pPr>
      <w:r w:rsidRPr="00823B14">
        <w:rPr>
          <w:rFonts w:ascii="Arial" w:hAnsi="Arial" w:cs="Arial"/>
          <w:sz w:val="21"/>
          <w:szCs w:val="21"/>
        </w:rPr>
        <w:t>Proveedores</w:t>
      </w:r>
      <w:r w:rsidR="00C64BD4" w:rsidRPr="00823B14">
        <w:rPr>
          <w:rFonts w:ascii="Arial" w:hAnsi="Arial" w:cs="Arial"/>
          <w:sz w:val="21"/>
          <w:szCs w:val="21"/>
        </w:rPr>
        <w:t xml:space="preserve"> por Pagar a Corto Plazo </w:t>
      </w:r>
      <w:r w:rsidR="00C64BD4" w:rsidRPr="00823B14">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375"/>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610328" w:rsidTr="003B75E9">
        <w:tc>
          <w:tcPr>
            <w:tcW w:w="3112" w:type="dxa"/>
            <w:vAlign w:val="center"/>
          </w:tcPr>
          <w:p w:rsidR="00610328" w:rsidRDefault="00D12F9C" w:rsidP="00803547">
            <w:pPr>
              <w:jc w:val="left"/>
              <w:rPr>
                <w:rFonts w:ascii="Arial" w:hAnsi="Arial" w:cs="Arial"/>
                <w:sz w:val="21"/>
                <w:szCs w:val="21"/>
              </w:rPr>
            </w:pPr>
            <w:r>
              <w:rPr>
                <w:rFonts w:ascii="Arial" w:hAnsi="Arial" w:cs="Arial"/>
                <w:sz w:val="21"/>
                <w:szCs w:val="21"/>
              </w:rPr>
              <w:t>Cuerpo de Guardias de Seguridad</w:t>
            </w:r>
            <w:r w:rsidR="00610328">
              <w:rPr>
                <w:rFonts w:ascii="Arial" w:hAnsi="Arial" w:cs="Arial"/>
                <w:sz w:val="21"/>
                <w:szCs w:val="21"/>
              </w:rPr>
              <w:t>.</w:t>
            </w:r>
          </w:p>
        </w:tc>
        <w:tc>
          <w:tcPr>
            <w:tcW w:w="3375" w:type="dxa"/>
            <w:vAlign w:val="center"/>
          </w:tcPr>
          <w:p w:rsidR="00610328" w:rsidRDefault="00D12F9C" w:rsidP="00415958">
            <w:pPr>
              <w:rPr>
                <w:rFonts w:ascii="Arial" w:hAnsi="Arial" w:cs="Arial"/>
                <w:sz w:val="21"/>
                <w:szCs w:val="21"/>
              </w:rPr>
            </w:pPr>
            <w:r>
              <w:rPr>
                <w:rFonts w:ascii="Arial" w:hAnsi="Arial" w:cs="Arial"/>
                <w:sz w:val="21"/>
                <w:szCs w:val="21"/>
              </w:rPr>
              <w:t xml:space="preserve">Servicio de </w:t>
            </w:r>
            <w:r w:rsidR="00415958">
              <w:rPr>
                <w:rFonts w:ascii="Arial" w:hAnsi="Arial" w:cs="Arial"/>
                <w:sz w:val="21"/>
                <w:szCs w:val="21"/>
              </w:rPr>
              <w:t>dic</w:t>
            </w:r>
            <w:r w:rsidR="002B1184">
              <w:rPr>
                <w:rFonts w:ascii="Arial" w:hAnsi="Arial" w:cs="Arial"/>
                <w:sz w:val="21"/>
                <w:szCs w:val="21"/>
              </w:rPr>
              <w:t>iembre</w:t>
            </w:r>
            <w:r>
              <w:rPr>
                <w:rFonts w:ascii="Arial" w:hAnsi="Arial" w:cs="Arial"/>
                <w:sz w:val="21"/>
                <w:szCs w:val="21"/>
              </w:rPr>
              <w:t xml:space="preserve"> 2017</w:t>
            </w:r>
          </w:p>
        </w:tc>
        <w:tc>
          <w:tcPr>
            <w:tcW w:w="2693" w:type="dxa"/>
            <w:vAlign w:val="center"/>
          </w:tcPr>
          <w:p w:rsidR="00610328" w:rsidRDefault="00D12F9C" w:rsidP="00915A3B">
            <w:pPr>
              <w:jc w:val="right"/>
              <w:rPr>
                <w:rFonts w:ascii="Arial" w:hAnsi="Arial" w:cs="Arial"/>
                <w:sz w:val="21"/>
                <w:szCs w:val="21"/>
              </w:rPr>
            </w:pPr>
            <w:r>
              <w:rPr>
                <w:rFonts w:ascii="Arial" w:hAnsi="Arial" w:cs="Arial"/>
                <w:sz w:val="21"/>
                <w:szCs w:val="21"/>
              </w:rPr>
              <w:t>98,805.1</w:t>
            </w:r>
            <w:r w:rsidR="00915A3B">
              <w:rPr>
                <w:rFonts w:ascii="Arial" w:hAnsi="Arial" w:cs="Arial"/>
                <w:sz w:val="21"/>
                <w:szCs w:val="21"/>
              </w:rPr>
              <w:t>3</w:t>
            </w:r>
          </w:p>
        </w:tc>
      </w:tr>
      <w:tr w:rsidR="002B1184" w:rsidRPr="00A177F5" w:rsidTr="003B75E9">
        <w:tc>
          <w:tcPr>
            <w:tcW w:w="3112" w:type="dxa"/>
            <w:vAlign w:val="center"/>
          </w:tcPr>
          <w:p w:rsidR="002B1184" w:rsidRDefault="00415958" w:rsidP="00A8345C">
            <w:pPr>
              <w:jc w:val="left"/>
              <w:rPr>
                <w:rFonts w:ascii="Arial" w:hAnsi="Arial" w:cs="Arial"/>
                <w:sz w:val="21"/>
                <w:szCs w:val="21"/>
              </w:rPr>
            </w:pPr>
            <w:r>
              <w:rPr>
                <w:rFonts w:ascii="Arial" w:hAnsi="Arial" w:cs="Arial"/>
                <w:sz w:val="21"/>
                <w:szCs w:val="21"/>
              </w:rPr>
              <w:t>Constantino González Hernández</w:t>
            </w:r>
          </w:p>
        </w:tc>
        <w:tc>
          <w:tcPr>
            <w:tcW w:w="3375" w:type="dxa"/>
            <w:vAlign w:val="center"/>
          </w:tcPr>
          <w:p w:rsidR="002B1184" w:rsidRPr="00416027" w:rsidRDefault="00390386" w:rsidP="00390386">
            <w:pPr>
              <w:rPr>
                <w:rFonts w:ascii="Arial" w:hAnsi="Arial" w:cs="Arial"/>
                <w:sz w:val="21"/>
                <w:szCs w:val="21"/>
              </w:rPr>
            </w:pPr>
            <w:r>
              <w:rPr>
                <w:rFonts w:ascii="Arial" w:hAnsi="Arial" w:cs="Arial"/>
                <w:sz w:val="21"/>
                <w:szCs w:val="21"/>
              </w:rPr>
              <w:t>Reparación de vehículos</w:t>
            </w:r>
          </w:p>
        </w:tc>
        <w:tc>
          <w:tcPr>
            <w:tcW w:w="2693" w:type="dxa"/>
            <w:vAlign w:val="center"/>
          </w:tcPr>
          <w:p w:rsidR="002B1184" w:rsidRPr="00416027" w:rsidRDefault="00390386" w:rsidP="00390386">
            <w:pPr>
              <w:jc w:val="right"/>
              <w:rPr>
                <w:rFonts w:ascii="Arial" w:hAnsi="Arial" w:cs="Arial"/>
                <w:sz w:val="21"/>
                <w:szCs w:val="21"/>
              </w:rPr>
            </w:pPr>
            <w:r>
              <w:rPr>
                <w:rFonts w:ascii="Arial" w:hAnsi="Arial" w:cs="Arial"/>
                <w:sz w:val="21"/>
                <w:szCs w:val="21"/>
              </w:rPr>
              <w:t>14,</w:t>
            </w:r>
            <w:r w:rsidR="00416027" w:rsidRPr="00416027">
              <w:rPr>
                <w:rFonts w:ascii="Arial" w:hAnsi="Arial" w:cs="Arial"/>
                <w:sz w:val="21"/>
                <w:szCs w:val="21"/>
              </w:rPr>
              <w:t>3</w:t>
            </w:r>
            <w:r>
              <w:rPr>
                <w:rFonts w:ascii="Arial" w:hAnsi="Arial" w:cs="Arial"/>
                <w:sz w:val="21"/>
                <w:szCs w:val="21"/>
              </w:rPr>
              <w:t>14</w:t>
            </w:r>
            <w:r w:rsidR="00416027" w:rsidRPr="00416027">
              <w:rPr>
                <w:rFonts w:ascii="Arial" w:hAnsi="Arial" w:cs="Arial"/>
                <w:sz w:val="21"/>
                <w:szCs w:val="21"/>
              </w:rPr>
              <w:t>.</w:t>
            </w:r>
            <w:r>
              <w:rPr>
                <w:rFonts w:ascii="Arial" w:hAnsi="Arial" w:cs="Arial"/>
                <w:sz w:val="21"/>
                <w:szCs w:val="21"/>
              </w:rPr>
              <w:t>4</w:t>
            </w:r>
            <w:r w:rsidR="00416027" w:rsidRPr="00416027">
              <w:rPr>
                <w:rFonts w:ascii="Arial" w:hAnsi="Arial" w:cs="Arial"/>
                <w:sz w:val="21"/>
                <w:szCs w:val="21"/>
              </w:rPr>
              <w:t>0</w:t>
            </w:r>
          </w:p>
        </w:tc>
      </w:tr>
      <w:tr w:rsidR="00A8345C" w:rsidRPr="00A177F5" w:rsidTr="003B75E9">
        <w:tc>
          <w:tcPr>
            <w:tcW w:w="3112" w:type="dxa"/>
            <w:vAlign w:val="center"/>
          </w:tcPr>
          <w:p w:rsidR="00A8345C" w:rsidRDefault="00A8345C" w:rsidP="00A8345C">
            <w:pPr>
              <w:jc w:val="left"/>
              <w:rPr>
                <w:rFonts w:ascii="Arial" w:hAnsi="Arial" w:cs="Arial"/>
                <w:sz w:val="21"/>
                <w:szCs w:val="21"/>
              </w:rPr>
            </w:pPr>
          </w:p>
        </w:tc>
        <w:tc>
          <w:tcPr>
            <w:tcW w:w="3375" w:type="dxa"/>
            <w:vAlign w:val="center"/>
          </w:tcPr>
          <w:p w:rsidR="00A8345C" w:rsidRPr="007B29AF" w:rsidRDefault="007B29AF" w:rsidP="007B29AF">
            <w:pPr>
              <w:jc w:val="right"/>
              <w:rPr>
                <w:rFonts w:ascii="Arial" w:hAnsi="Arial" w:cs="Arial"/>
                <w:b/>
                <w:sz w:val="21"/>
                <w:szCs w:val="21"/>
              </w:rPr>
            </w:pPr>
            <w:r w:rsidRPr="007B29AF">
              <w:rPr>
                <w:rFonts w:ascii="Arial" w:hAnsi="Arial" w:cs="Arial"/>
                <w:b/>
                <w:sz w:val="21"/>
                <w:szCs w:val="21"/>
              </w:rPr>
              <w:t>Suma</w:t>
            </w:r>
          </w:p>
        </w:tc>
        <w:tc>
          <w:tcPr>
            <w:tcW w:w="2693" w:type="dxa"/>
            <w:vAlign w:val="center"/>
          </w:tcPr>
          <w:p w:rsidR="00A8345C" w:rsidRPr="007B29AF" w:rsidRDefault="002C5C1C" w:rsidP="00390386">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390386">
              <w:rPr>
                <w:rFonts w:ascii="Arial" w:hAnsi="Arial" w:cs="Arial"/>
                <w:b/>
                <w:sz w:val="21"/>
                <w:szCs w:val="21"/>
              </w:rPr>
              <w:t>113</w:t>
            </w:r>
            <w:r w:rsidR="00BF317D">
              <w:rPr>
                <w:rFonts w:ascii="Arial" w:hAnsi="Arial" w:cs="Arial"/>
                <w:b/>
                <w:sz w:val="21"/>
                <w:szCs w:val="21"/>
              </w:rPr>
              <w:t>,</w:t>
            </w:r>
            <w:r w:rsidR="00390386">
              <w:rPr>
                <w:rFonts w:ascii="Arial" w:hAnsi="Arial" w:cs="Arial"/>
                <w:b/>
                <w:sz w:val="21"/>
                <w:szCs w:val="21"/>
              </w:rPr>
              <w:t>119</w:t>
            </w:r>
            <w:r w:rsidR="00BF317D">
              <w:rPr>
                <w:rFonts w:ascii="Arial" w:hAnsi="Arial" w:cs="Arial"/>
                <w:b/>
                <w:sz w:val="21"/>
                <w:szCs w:val="21"/>
              </w:rPr>
              <w:t>.</w:t>
            </w:r>
            <w:r w:rsidR="00390386">
              <w:rPr>
                <w:rFonts w:ascii="Arial" w:hAnsi="Arial" w:cs="Arial"/>
                <w:b/>
                <w:sz w:val="21"/>
                <w:szCs w:val="21"/>
              </w:rPr>
              <w:t>52</w:t>
            </w:r>
          </w:p>
        </w:tc>
      </w:tr>
    </w:tbl>
    <w:p w:rsidR="00CC4B28" w:rsidRPr="005F09B9" w:rsidRDefault="00C3186F" w:rsidP="0020269C">
      <w:pPr>
        <w:pStyle w:val="Prrafodelista"/>
        <w:numPr>
          <w:ilvl w:val="0"/>
          <w:numId w:val="17"/>
        </w:numPr>
        <w:rPr>
          <w:rFonts w:ascii="Arial" w:hAnsi="Arial" w:cs="Arial"/>
          <w:color w:val="000000" w:themeColor="text1"/>
          <w:sz w:val="21"/>
          <w:szCs w:val="21"/>
        </w:rPr>
      </w:pPr>
      <w:r w:rsidRPr="0020269C">
        <w:rPr>
          <w:rFonts w:ascii="Arial" w:hAnsi="Arial" w:cs="Arial"/>
          <w:sz w:val="21"/>
          <w:szCs w:val="21"/>
        </w:rPr>
        <w:lastRenderedPageBreak/>
        <w:t>Retenciones y Contribuciones por Pagar a Corto Plazo</w:t>
      </w:r>
      <w:r w:rsidRPr="0020269C">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BC4299">
            <w:pPr>
              <w:rPr>
                <w:rFonts w:ascii="Arial" w:hAnsi="Arial" w:cs="Arial"/>
                <w:sz w:val="21"/>
                <w:szCs w:val="21"/>
              </w:rPr>
            </w:pPr>
            <w:r>
              <w:rPr>
                <w:rFonts w:ascii="Arial" w:hAnsi="Arial" w:cs="Arial"/>
                <w:sz w:val="21"/>
                <w:szCs w:val="21"/>
              </w:rPr>
              <w:t xml:space="preserve">Retenciones de </w:t>
            </w:r>
            <w:r w:rsidR="00BC4299">
              <w:rPr>
                <w:rFonts w:ascii="Arial" w:hAnsi="Arial" w:cs="Arial"/>
                <w:sz w:val="21"/>
                <w:szCs w:val="21"/>
              </w:rPr>
              <w:t>dic</w:t>
            </w:r>
            <w:r w:rsidR="00BF317D">
              <w:rPr>
                <w:rFonts w:ascii="Arial" w:hAnsi="Arial" w:cs="Arial"/>
                <w:sz w:val="21"/>
                <w:szCs w:val="21"/>
              </w:rPr>
              <w:t>iembre</w:t>
            </w:r>
            <w:r w:rsidR="00D12F9C">
              <w:rPr>
                <w:rFonts w:ascii="Arial" w:hAnsi="Arial" w:cs="Arial"/>
                <w:sz w:val="21"/>
                <w:szCs w:val="21"/>
              </w:rPr>
              <w:t xml:space="preserve"> 2017</w:t>
            </w:r>
          </w:p>
        </w:tc>
        <w:tc>
          <w:tcPr>
            <w:tcW w:w="2976" w:type="dxa"/>
            <w:vAlign w:val="center"/>
          </w:tcPr>
          <w:p w:rsidR="00C3186F" w:rsidRPr="004D11EC" w:rsidRDefault="00BF317D" w:rsidP="00BC4299">
            <w:pPr>
              <w:jc w:val="right"/>
              <w:rPr>
                <w:rFonts w:ascii="Arial" w:hAnsi="Arial" w:cs="Arial"/>
                <w:sz w:val="21"/>
                <w:szCs w:val="21"/>
              </w:rPr>
            </w:pPr>
            <w:r>
              <w:rPr>
                <w:rFonts w:ascii="Arial" w:hAnsi="Arial" w:cs="Arial"/>
                <w:sz w:val="21"/>
                <w:szCs w:val="21"/>
              </w:rPr>
              <w:t>441,</w:t>
            </w:r>
            <w:r w:rsidR="00BC4299">
              <w:rPr>
                <w:rFonts w:ascii="Arial" w:hAnsi="Arial" w:cs="Arial"/>
                <w:sz w:val="21"/>
                <w:szCs w:val="21"/>
              </w:rPr>
              <w:t>267</w:t>
            </w:r>
            <w:r>
              <w:rPr>
                <w:rFonts w:ascii="Arial" w:hAnsi="Arial" w:cs="Arial"/>
                <w:sz w:val="21"/>
                <w:szCs w:val="21"/>
              </w:rPr>
              <w:t>.2</w:t>
            </w:r>
            <w:r w:rsidR="00BC4299">
              <w:rPr>
                <w:rFonts w:ascii="Arial" w:hAnsi="Arial" w:cs="Arial"/>
                <w:sz w:val="21"/>
                <w:szCs w:val="21"/>
              </w:rPr>
              <w:t>9</w:t>
            </w:r>
          </w:p>
        </w:tc>
      </w:tr>
      <w:tr w:rsidR="00020C2E" w:rsidRPr="004D11EC" w:rsidTr="00FE0455">
        <w:tc>
          <w:tcPr>
            <w:tcW w:w="3112" w:type="dxa"/>
            <w:vAlign w:val="center"/>
          </w:tcPr>
          <w:p w:rsidR="00020C2E" w:rsidRDefault="00BC4299" w:rsidP="00BD3E07">
            <w:pPr>
              <w:jc w:val="left"/>
              <w:rPr>
                <w:rFonts w:ascii="Arial" w:hAnsi="Arial" w:cs="Arial"/>
                <w:sz w:val="21"/>
                <w:szCs w:val="21"/>
              </w:rPr>
            </w:pPr>
            <w:r>
              <w:rPr>
                <w:rFonts w:ascii="Arial" w:hAnsi="Arial" w:cs="Arial"/>
                <w:sz w:val="21"/>
                <w:szCs w:val="21"/>
              </w:rPr>
              <w:t>10% Arrendamiento</w:t>
            </w:r>
          </w:p>
        </w:tc>
        <w:tc>
          <w:tcPr>
            <w:tcW w:w="3092" w:type="dxa"/>
            <w:vAlign w:val="center"/>
          </w:tcPr>
          <w:p w:rsidR="00020C2E" w:rsidRDefault="00020C2E" w:rsidP="00BC4299">
            <w:pPr>
              <w:rPr>
                <w:rFonts w:ascii="Arial" w:hAnsi="Arial" w:cs="Arial"/>
                <w:sz w:val="21"/>
                <w:szCs w:val="21"/>
              </w:rPr>
            </w:pPr>
            <w:r>
              <w:rPr>
                <w:rFonts w:ascii="Arial" w:hAnsi="Arial" w:cs="Arial"/>
                <w:sz w:val="21"/>
                <w:szCs w:val="21"/>
              </w:rPr>
              <w:t xml:space="preserve">Retenciones de </w:t>
            </w:r>
            <w:r w:rsidR="00BC4299">
              <w:rPr>
                <w:rFonts w:ascii="Arial" w:hAnsi="Arial" w:cs="Arial"/>
                <w:sz w:val="21"/>
                <w:szCs w:val="21"/>
              </w:rPr>
              <w:t>dic</w:t>
            </w:r>
            <w:r w:rsidR="00BF317D">
              <w:rPr>
                <w:rFonts w:ascii="Arial" w:hAnsi="Arial" w:cs="Arial"/>
                <w:sz w:val="21"/>
                <w:szCs w:val="21"/>
              </w:rPr>
              <w:t>iembre</w:t>
            </w:r>
            <w:r>
              <w:rPr>
                <w:rFonts w:ascii="Arial" w:hAnsi="Arial" w:cs="Arial"/>
                <w:sz w:val="21"/>
                <w:szCs w:val="21"/>
              </w:rPr>
              <w:t xml:space="preserve"> 2017</w:t>
            </w:r>
          </w:p>
        </w:tc>
        <w:tc>
          <w:tcPr>
            <w:tcW w:w="2976" w:type="dxa"/>
            <w:vAlign w:val="center"/>
          </w:tcPr>
          <w:p w:rsidR="00020C2E" w:rsidRDefault="00BC4299" w:rsidP="00BC4299">
            <w:pPr>
              <w:jc w:val="right"/>
              <w:rPr>
                <w:rFonts w:ascii="Arial" w:hAnsi="Arial" w:cs="Arial"/>
                <w:sz w:val="21"/>
                <w:szCs w:val="21"/>
              </w:rPr>
            </w:pPr>
            <w:r>
              <w:rPr>
                <w:rFonts w:ascii="Arial" w:hAnsi="Arial" w:cs="Arial"/>
                <w:sz w:val="21"/>
                <w:szCs w:val="21"/>
              </w:rPr>
              <w:t>7,389</w:t>
            </w:r>
            <w:r w:rsidR="00BF317D">
              <w:rPr>
                <w:rFonts w:ascii="Arial" w:hAnsi="Arial" w:cs="Arial"/>
                <w:sz w:val="21"/>
                <w:szCs w:val="21"/>
              </w:rPr>
              <w:t>.</w:t>
            </w:r>
            <w:r>
              <w:rPr>
                <w:rFonts w:ascii="Arial" w:hAnsi="Arial" w:cs="Arial"/>
                <w:sz w:val="21"/>
                <w:szCs w:val="21"/>
              </w:rPr>
              <w:t>21</w:t>
            </w:r>
          </w:p>
        </w:tc>
      </w:tr>
      <w:tr w:rsidR="00C3186F" w:rsidRPr="004D11EC" w:rsidTr="00FE0455">
        <w:tc>
          <w:tcPr>
            <w:tcW w:w="3112" w:type="dxa"/>
            <w:vAlign w:val="center"/>
          </w:tcPr>
          <w:p w:rsidR="00C3186F" w:rsidRPr="004D11EC" w:rsidRDefault="00BC4299" w:rsidP="00BC4299">
            <w:pPr>
              <w:jc w:val="left"/>
              <w:rPr>
                <w:rFonts w:ascii="Arial" w:hAnsi="Arial" w:cs="Arial"/>
                <w:sz w:val="21"/>
                <w:szCs w:val="21"/>
              </w:rPr>
            </w:pPr>
            <w:r>
              <w:rPr>
                <w:rFonts w:ascii="Arial" w:hAnsi="Arial" w:cs="Arial"/>
                <w:sz w:val="21"/>
                <w:szCs w:val="21"/>
              </w:rPr>
              <w:t>10%</w:t>
            </w:r>
            <w:r w:rsidR="00FF2CB4">
              <w:rPr>
                <w:rFonts w:ascii="Arial" w:hAnsi="Arial" w:cs="Arial"/>
                <w:sz w:val="21"/>
                <w:szCs w:val="21"/>
              </w:rPr>
              <w:t xml:space="preserve"> </w:t>
            </w:r>
            <w:r>
              <w:rPr>
                <w:rFonts w:ascii="Arial" w:hAnsi="Arial" w:cs="Arial"/>
                <w:sz w:val="21"/>
                <w:szCs w:val="21"/>
              </w:rPr>
              <w:t>Honorarios</w:t>
            </w:r>
          </w:p>
        </w:tc>
        <w:tc>
          <w:tcPr>
            <w:tcW w:w="3092" w:type="dxa"/>
            <w:vAlign w:val="center"/>
          </w:tcPr>
          <w:p w:rsidR="00C3186F" w:rsidRPr="004D11EC" w:rsidRDefault="00FF2CB4" w:rsidP="00BC4299">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w:t>
            </w:r>
            <w:r w:rsidR="00BC4299">
              <w:rPr>
                <w:rFonts w:ascii="Arial" w:hAnsi="Arial" w:cs="Arial"/>
                <w:sz w:val="21"/>
                <w:szCs w:val="21"/>
              </w:rPr>
              <w:t>dici</w:t>
            </w:r>
            <w:r w:rsidR="00BF317D">
              <w:rPr>
                <w:rFonts w:ascii="Arial" w:hAnsi="Arial" w:cs="Arial"/>
                <w:sz w:val="21"/>
                <w:szCs w:val="21"/>
              </w:rPr>
              <w:t>embre</w:t>
            </w:r>
            <w:r w:rsidR="00D12F9C">
              <w:rPr>
                <w:rFonts w:ascii="Arial" w:hAnsi="Arial" w:cs="Arial"/>
                <w:sz w:val="21"/>
                <w:szCs w:val="21"/>
              </w:rPr>
              <w:t xml:space="preserve"> 2017</w:t>
            </w:r>
          </w:p>
        </w:tc>
        <w:tc>
          <w:tcPr>
            <w:tcW w:w="2976" w:type="dxa"/>
            <w:vAlign w:val="center"/>
          </w:tcPr>
          <w:p w:rsidR="00C3186F" w:rsidRPr="004D11EC" w:rsidRDefault="00BF317D" w:rsidP="00BC4299">
            <w:pPr>
              <w:jc w:val="right"/>
              <w:rPr>
                <w:rFonts w:ascii="Arial" w:hAnsi="Arial" w:cs="Arial"/>
                <w:sz w:val="21"/>
                <w:szCs w:val="21"/>
              </w:rPr>
            </w:pPr>
            <w:r>
              <w:rPr>
                <w:rFonts w:ascii="Arial" w:hAnsi="Arial" w:cs="Arial"/>
                <w:sz w:val="21"/>
                <w:szCs w:val="21"/>
              </w:rPr>
              <w:t>1</w:t>
            </w:r>
            <w:r w:rsidR="00BC4299">
              <w:rPr>
                <w:rFonts w:ascii="Arial" w:hAnsi="Arial" w:cs="Arial"/>
                <w:sz w:val="21"/>
                <w:szCs w:val="21"/>
              </w:rPr>
              <w:t>7</w:t>
            </w:r>
            <w:r>
              <w:rPr>
                <w:rFonts w:ascii="Arial" w:hAnsi="Arial" w:cs="Arial"/>
                <w:sz w:val="21"/>
                <w:szCs w:val="21"/>
              </w:rPr>
              <w:t>,</w:t>
            </w:r>
            <w:r w:rsidR="00BC4299">
              <w:rPr>
                <w:rFonts w:ascii="Arial" w:hAnsi="Arial" w:cs="Arial"/>
                <w:sz w:val="21"/>
                <w:szCs w:val="21"/>
              </w:rPr>
              <w:t>241</w:t>
            </w:r>
            <w:r>
              <w:rPr>
                <w:rFonts w:ascii="Arial" w:hAnsi="Arial" w:cs="Arial"/>
                <w:sz w:val="21"/>
                <w:szCs w:val="21"/>
              </w:rPr>
              <w:t>.</w:t>
            </w:r>
            <w:r w:rsidR="00BC4299">
              <w:rPr>
                <w:rFonts w:ascii="Arial" w:hAnsi="Arial" w:cs="Arial"/>
                <w:sz w:val="21"/>
                <w:szCs w:val="21"/>
              </w:rPr>
              <w:t>37</w:t>
            </w:r>
          </w:p>
        </w:tc>
      </w:tr>
      <w:tr w:rsidR="00BF317D" w:rsidRPr="004D11EC" w:rsidTr="00FE0455">
        <w:tc>
          <w:tcPr>
            <w:tcW w:w="3112" w:type="dxa"/>
            <w:vAlign w:val="center"/>
          </w:tcPr>
          <w:p w:rsidR="00BF317D" w:rsidRDefault="00BF317D" w:rsidP="000821AA">
            <w:pPr>
              <w:jc w:val="left"/>
              <w:rPr>
                <w:rFonts w:ascii="Arial" w:hAnsi="Arial" w:cs="Arial"/>
                <w:sz w:val="21"/>
                <w:szCs w:val="21"/>
              </w:rPr>
            </w:pPr>
            <w:r>
              <w:rPr>
                <w:rFonts w:ascii="Arial" w:hAnsi="Arial" w:cs="Arial"/>
                <w:sz w:val="21"/>
                <w:szCs w:val="21"/>
              </w:rPr>
              <w:t>INFONACOT</w:t>
            </w:r>
          </w:p>
        </w:tc>
        <w:tc>
          <w:tcPr>
            <w:tcW w:w="3092" w:type="dxa"/>
            <w:vAlign w:val="center"/>
          </w:tcPr>
          <w:p w:rsidR="00BF317D" w:rsidRDefault="00BF317D" w:rsidP="00BC4299">
            <w:pPr>
              <w:rPr>
                <w:rFonts w:ascii="Arial" w:hAnsi="Arial" w:cs="Arial"/>
                <w:sz w:val="21"/>
                <w:szCs w:val="21"/>
              </w:rPr>
            </w:pPr>
            <w:r>
              <w:rPr>
                <w:rFonts w:ascii="Arial" w:hAnsi="Arial" w:cs="Arial"/>
                <w:sz w:val="21"/>
                <w:szCs w:val="21"/>
              </w:rPr>
              <w:t xml:space="preserve">Créditos de </w:t>
            </w:r>
            <w:r w:rsidR="00BC4299">
              <w:rPr>
                <w:rFonts w:ascii="Arial" w:hAnsi="Arial" w:cs="Arial"/>
                <w:sz w:val="21"/>
                <w:szCs w:val="21"/>
              </w:rPr>
              <w:t>dic</w:t>
            </w:r>
            <w:r>
              <w:rPr>
                <w:rFonts w:ascii="Arial" w:hAnsi="Arial" w:cs="Arial"/>
                <w:sz w:val="21"/>
                <w:szCs w:val="21"/>
              </w:rPr>
              <w:t>iembre 2017</w:t>
            </w:r>
          </w:p>
        </w:tc>
        <w:tc>
          <w:tcPr>
            <w:tcW w:w="2976" w:type="dxa"/>
            <w:vAlign w:val="center"/>
          </w:tcPr>
          <w:p w:rsidR="00BF317D" w:rsidRDefault="00BC4299" w:rsidP="00BC4299">
            <w:pPr>
              <w:jc w:val="right"/>
              <w:rPr>
                <w:rFonts w:ascii="Arial" w:hAnsi="Arial" w:cs="Arial"/>
                <w:sz w:val="21"/>
                <w:szCs w:val="21"/>
              </w:rPr>
            </w:pPr>
            <w:r>
              <w:rPr>
                <w:rFonts w:ascii="Arial" w:hAnsi="Arial" w:cs="Arial"/>
                <w:sz w:val="21"/>
                <w:szCs w:val="21"/>
              </w:rPr>
              <w:t>73</w:t>
            </w:r>
            <w:r w:rsidR="00BF317D">
              <w:rPr>
                <w:rFonts w:ascii="Arial" w:hAnsi="Arial" w:cs="Arial"/>
                <w:sz w:val="21"/>
                <w:szCs w:val="21"/>
              </w:rPr>
              <w:t>,</w:t>
            </w:r>
            <w:r>
              <w:rPr>
                <w:rFonts w:ascii="Arial" w:hAnsi="Arial" w:cs="Arial"/>
                <w:sz w:val="21"/>
                <w:szCs w:val="21"/>
              </w:rPr>
              <w:t>122</w:t>
            </w:r>
            <w:r w:rsidR="00BF317D">
              <w:rPr>
                <w:rFonts w:ascii="Arial" w:hAnsi="Arial" w:cs="Arial"/>
                <w:sz w:val="21"/>
                <w:szCs w:val="21"/>
              </w:rPr>
              <w:t>.</w:t>
            </w:r>
            <w:r>
              <w:rPr>
                <w:rFonts w:ascii="Arial" w:hAnsi="Arial" w:cs="Arial"/>
                <w:sz w:val="21"/>
                <w:szCs w:val="21"/>
              </w:rPr>
              <w:t>28</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BC4299">
            <w:pPr>
              <w:rPr>
                <w:rFonts w:ascii="Arial" w:hAnsi="Arial" w:cs="Arial"/>
                <w:sz w:val="21"/>
                <w:szCs w:val="21"/>
              </w:rPr>
            </w:pPr>
            <w:r>
              <w:rPr>
                <w:rFonts w:ascii="Arial" w:hAnsi="Arial" w:cs="Arial"/>
                <w:sz w:val="21"/>
                <w:szCs w:val="21"/>
              </w:rPr>
              <w:t xml:space="preserve">Cuotas de </w:t>
            </w:r>
            <w:r w:rsidR="00BC4299">
              <w:rPr>
                <w:rFonts w:ascii="Arial" w:hAnsi="Arial" w:cs="Arial"/>
                <w:sz w:val="21"/>
                <w:szCs w:val="21"/>
              </w:rPr>
              <w:t>dic</w:t>
            </w:r>
            <w:r w:rsidR="00BF317D">
              <w:rPr>
                <w:rFonts w:ascii="Arial" w:hAnsi="Arial" w:cs="Arial"/>
                <w:sz w:val="21"/>
                <w:szCs w:val="21"/>
              </w:rPr>
              <w:t>iembre</w:t>
            </w:r>
            <w:r w:rsidR="00020C2E">
              <w:rPr>
                <w:rFonts w:ascii="Arial" w:hAnsi="Arial" w:cs="Arial"/>
                <w:sz w:val="21"/>
                <w:szCs w:val="21"/>
              </w:rPr>
              <w:t xml:space="preserve"> </w:t>
            </w:r>
            <w:r w:rsidR="00D12F9C">
              <w:rPr>
                <w:rFonts w:ascii="Arial" w:hAnsi="Arial" w:cs="Arial"/>
                <w:sz w:val="21"/>
                <w:szCs w:val="21"/>
              </w:rPr>
              <w:t>2017</w:t>
            </w:r>
          </w:p>
        </w:tc>
        <w:tc>
          <w:tcPr>
            <w:tcW w:w="2976" w:type="dxa"/>
            <w:vAlign w:val="center"/>
          </w:tcPr>
          <w:p w:rsidR="00C3186F" w:rsidRPr="004D11EC" w:rsidRDefault="005140B5" w:rsidP="00BC4299">
            <w:pPr>
              <w:jc w:val="right"/>
              <w:rPr>
                <w:rFonts w:ascii="Arial" w:hAnsi="Arial" w:cs="Arial"/>
                <w:sz w:val="21"/>
                <w:szCs w:val="21"/>
              </w:rPr>
            </w:pPr>
            <w:r>
              <w:rPr>
                <w:rFonts w:ascii="Arial" w:hAnsi="Arial" w:cs="Arial"/>
                <w:sz w:val="21"/>
                <w:szCs w:val="21"/>
              </w:rPr>
              <w:t>16,</w:t>
            </w:r>
            <w:r w:rsidR="00BC4299">
              <w:rPr>
                <w:rFonts w:ascii="Arial" w:hAnsi="Arial" w:cs="Arial"/>
                <w:sz w:val="21"/>
                <w:szCs w:val="21"/>
              </w:rPr>
              <w:t>488</w:t>
            </w:r>
            <w:r w:rsidR="00BF317D">
              <w:rPr>
                <w:rFonts w:ascii="Arial" w:hAnsi="Arial" w:cs="Arial"/>
                <w:sz w:val="21"/>
                <w:szCs w:val="21"/>
              </w:rPr>
              <w:t>.</w:t>
            </w:r>
            <w:r w:rsidR="00BC4299">
              <w:rPr>
                <w:rFonts w:ascii="Arial" w:hAnsi="Arial" w:cs="Arial"/>
                <w:sz w:val="21"/>
                <w:szCs w:val="21"/>
              </w:rPr>
              <w:t>20</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5605D" w:rsidP="00BC4299">
            <w:pPr>
              <w:rPr>
                <w:rFonts w:ascii="Arial" w:hAnsi="Arial" w:cs="Arial"/>
                <w:sz w:val="21"/>
                <w:szCs w:val="21"/>
              </w:rPr>
            </w:pPr>
            <w:r>
              <w:rPr>
                <w:rFonts w:ascii="Arial" w:hAnsi="Arial" w:cs="Arial"/>
                <w:sz w:val="21"/>
                <w:szCs w:val="21"/>
              </w:rPr>
              <w:t xml:space="preserve">Cuotas de </w:t>
            </w:r>
            <w:r w:rsidR="00BC4299">
              <w:rPr>
                <w:rFonts w:ascii="Arial" w:hAnsi="Arial" w:cs="Arial"/>
                <w:sz w:val="21"/>
                <w:szCs w:val="21"/>
              </w:rPr>
              <w:t>dic</w:t>
            </w:r>
            <w:r w:rsidR="00BF317D">
              <w:rPr>
                <w:rFonts w:ascii="Arial" w:hAnsi="Arial" w:cs="Arial"/>
                <w:sz w:val="21"/>
                <w:szCs w:val="21"/>
              </w:rPr>
              <w:t>iembre</w:t>
            </w:r>
            <w:r>
              <w:rPr>
                <w:rFonts w:ascii="Arial" w:hAnsi="Arial" w:cs="Arial"/>
                <w:sz w:val="21"/>
                <w:szCs w:val="21"/>
              </w:rPr>
              <w:t xml:space="preserve"> 2017</w:t>
            </w:r>
          </w:p>
        </w:tc>
        <w:tc>
          <w:tcPr>
            <w:tcW w:w="2976" w:type="dxa"/>
            <w:vAlign w:val="center"/>
          </w:tcPr>
          <w:p w:rsidR="00E03EDF" w:rsidRPr="004D11EC" w:rsidRDefault="00357787" w:rsidP="00357787">
            <w:pPr>
              <w:jc w:val="right"/>
              <w:rPr>
                <w:rFonts w:ascii="Arial" w:hAnsi="Arial" w:cs="Arial"/>
                <w:sz w:val="21"/>
                <w:szCs w:val="21"/>
              </w:rPr>
            </w:pPr>
            <w:r>
              <w:rPr>
                <w:rFonts w:ascii="Arial" w:hAnsi="Arial" w:cs="Arial"/>
                <w:sz w:val="21"/>
                <w:szCs w:val="21"/>
              </w:rPr>
              <w:t>1,470.00</w:t>
            </w:r>
          </w:p>
        </w:tc>
      </w:tr>
      <w:tr w:rsidR="00E533D3"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33D3" w:rsidRDefault="00E533D3" w:rsidP="00E533D3">
            <w:pPr>
              <w:jc w:val="left"/>
              <w:rPr>
                <w:rFonts w:ascii="Arial" w:hAnsi="Arial" w:cs="Arial"/>
                <w:sz w:val="21"/>
                <w:szCs w:val="21"/>
              </w:rPr>
            </w:pPr>
            <w:r>
              <w:rPr>
                <w:rFonts w:ascii="Arial" w:hAnsi="Arial" w:cs="Arial"/>
                <w:sz w:val="21"/>
                <w:szCs w:val="21"/>
              </w:rPr>
              <w:t>HIR Compañía de Seguros</w:t>
            </w:r>
          </w:p>
        </w:tc>
        <w:tc>
          <w:tcPr>
            <w:tcW w:w="3092" w:type="dxa"/>
            <w:tcBorders>
              <w:top w:val="nil"/>
              <w:left w:val="nil"/>
              <w:bottom w:val="nil"/>
              <w:right w:val="nil"/>
            </w:tcBorders>
          </w:tcPr>
          <w:p w:rsidR="00E533D3" w:rsidRDefault="00BC4299" w:rsidP="00BC4299">
            <w:pPr>
              <w:rPr>
                <w:rFonts w:ascii="Arial" w:hAnsi="Arial" w:cs="Arial"/>
                <w:sz w:val="21"/>
                <w:szCs w:val="21"/>
              </w:rPr>
            </w:pPr>
            <w:r>
              <w:rPr>
                <w:rFonts w:ascii="Arial" w:hAnsi="Arial" w:cs="Arial"/>
                <w:sz w:val="21"/>
                <w:szCs w:val="21"/>
              </w:rPr>
              <w:t>Cuotas</w:t>
            </w:r>
            <w:r w:rsidR="00E533D3">
              <w:rPr>
                <w:rFonts w:ascii="Arial" w:hAnsi="Arial" w:cs="Arial"/>
                <w:sz w:val="21"/>
                <w:szCs w:val="21"/>
              </w:rPr>
              <w:t xml:space="preserve"> de</w:t>
            </w:r>
            <w:r w:rsidR="0071616A">
              <w:rPr>
                <w:rFonts w:ascii="Arial" w:hAnsi="Arial" w:cs="Arial"/>
                <w:sz w:val="21"/>
                <w:szCs w:val="21"/>
              </w:rPr>
              <w:t xml:space="preserve"> </w:t>
            </w:r>
            <w:r>
              <w:rPr>
                <w:rFonts w:ascii="Arial" w:hAnsi="Arial" w:cs="Arial"/>
                <w:sz w:val="21"/>
                <w:szCs w:val="21"/>
              </w:rPr>
              <w:t>dic</w:t>
            </w:r>
            <w:r w:rsidR="00BF317D">
              <w:rPr>
                <w:rFonts w:ascii="Arial" w:hAnsi="Arial" w:cs="Arial"/>
                <w:sz w:val="21"/>
                <w:szCs w:val="21"/>
              </w:rPr>
              <w:t>iembre</w:t>
            </w:r>
            <w:r w:rsidR="00357787">
              <w:rPr>
                <w:rFonts w:ascii="Arial" w:hAnsi="Arial" w:cs="Arial"/>
                <w:sz w:val="21"/>
                <w:szCs w:val="21"/>
              </w:rPr>
              <w:t xml:space="preserve"> </w:t>
            </w:r>
            <w:r w:rsidR="00E533D3">
              <w:rPr>
                <w:rFonts w:ascii="Arial" w:hAnsi="Arial" w:cs="Arial"/>
                <w:sz w:val="21"/>
                <w:szCs w:val="21"/>
              </w:rPr>
              <w:t>2017</w:t>
            </w:r>
          </w:p>
        </w:tc>
        <w:tc>
          <w:tcPr>
            <w:tcW w:w="2976" w:type="dxa"/>
            <w:tcBorders>
              <w:top w:val="nil"/>
              <w:left w:val="nil"/>
              <w:bottom w:val="nil"/>
              <w:right w:val="nil"/>
            </w:tcBorders>
          </w:tcPr>
          <w:p w:rsidR="00E533D3" w:rsidRDefault="00BC4299" w:rsidP="00BC4299">
            <w:pPr>
              <w:jc w:val="right"/>
              <w:rPr>
                <w:rFonts w:ascii="Arial" w:hAnsi="Arial" w:cs="Arial"/>
                <w:sz w:val="21"/>
                <w:szCs w:val="21"/>
              </w:rPr>
            </w:pPr>
            <w:r>
              <w:rPr>
                <w:rFonts w:ascii="Arial" w:hAnsi="Arial" w:cs="Arial"/>
                <w:sz w:val="21"/>
                <w:szCs w:val="21"/>
              </w:rPr>
              <w:t>94</w:t>
            </w:r>
            <w:r w:rsidR="00BF317D">
              <w:rPr>
                <w:rFonts w:ascii="Arial" w:hAnsi="Arial" w:cs="Arial"/>
                <w:sz w:val="21"/>
                <w:szCs w:val="21"/>
              </w:rPr>
              <w:t>,</w:t>
            </w:r>
            <w:r>
              <w:rPr>
                <w:rFonts w:ascii="Arial" w:hAnsi="Arial" w:cs="Arial"/>
                <w:sz w:val="21"/>
                <w:szCs w:val="21"/>
              </w:rPr>
              <w:t>232</w:t>
            </w:r>
            <w:r w:rsidR="00BF317D">
              <w:rPr>
                <w:rFonts w:ascii="Arial" w:hAnsi="Arial" w:cs="Arial"/>
                <w:sz w:val="21"/>
                <w:szCs w:val="21"/>
              </w:rPr>
              <w:t>.</w:t>
            </w:r>
            <w:r>
              <w:rPr>
                <w:rFonts w:ascii="Arial" w:hAnsi="Arial" w:cs="Arial"/>
                <w:sz w:val="21"/>
                <w:szCs w:val="21"/>
              </w:rPr>
              <w:t>28</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BC4299">
            <w:pPr>
              <w:rPr>
                <w:rFonts w:ascii="Arial" w:hAnsi="Arial" w:cs="Arial"/>
                <w:sz w:val="21"/>
                <w:szCs w:val="21"/>
              </w:rPr>
            </w:pPr>
            <w:r>
              <w:rPr>
                <w:rFonts w:ascii="Arial" w:hAnsi="Arial" w:cs="Arial"/>
                <w:sz w:val="21"/>
                <w:szCs w:val="21"/>
              </w:rPr>
              <w:t xml:space="preserve">Créditos </w:t>
            </w:r>
            <w:r w:rsidR="00BC4299">
              <w:rPr>
                <w:rFonts w:ascii="Arial" w:hAnsi="Arial" w:cs="Arial"/>
                <w:sz w:val="21"/>
                <w:szCs w:val="21"/>
              </w:rPr>
              <w:t>dic</w:t>
            </w:r>
            <w:r w:rsidR="00BF317D">
              <w:rPr>
                <w:rFonts w:ascii="Arial" w:hAnsi="Arial" w:cs="Arial"/>
                <w:sz w:val="21"/>
                <w:szCs w:val="21"/>
              </w:rPr>
              <w:t>iembre</w:t>
            </w:r>
            <w:r w:rsidR="00F5605D">
              <w:rPr>
                <w:rFonts w:ascii="Arial" w:hAnsi="Arial" w:cs="Arial"/>
                <w:sz w:val="21"/>
                <w:szCs w:val="21"/>
              </w:rPr>
              <w:t xml:space="preserve"> 2017</w:t>
            </w:r>
          </w:p>
        </w:tc>
        <w:tc>
          <w:tcPr>
            <w:tcW w:w="2976" w:type="dxa"/>
            <w:tcBorders>
              <w:top w:val="nil"/>
              <w:left w:val="nil"/>
              <w:bottom w:val="nil"/>
              <w:right w:val="nil"/>
            </w:tcBorders>
          </w:tcPr>
          <w:p w:rsidR="00693EB1" w:rsidRPr="004D11EC" w:rsidRDefault="00A55683" w:rsidP="00BC4299">
            <w:pPr>
              <w:jc w:val="right"/>
              <w:rPr>
                <w:rFonts w:ascii="Arial" w:hAnsi="Arial" w:cs="Arial"/>
                <w:sz w:val="21"/>
                <w:szCs w:val="21"/>
              </w:rPr>
            </w:pPr>
            <w:r>
              <w:rPr>
                <w:rFonts w:ascii="Arial" w:hAnsi="Arial" w:cs="Arial"/>
                <w:sz w:val="21"/>
                <w:szCs w:val="21"/>
              </w:rPr>
              <w:t>8,046.</w:t>
            </w:r>
            <w:r w:rsidR="00BC4299">
              <w:rPr>
                <w:rFonts w:ascii="Arial" w:hAnsi="Arial" w:cs="Arial"/>
                <w:sz w:val="21"/>
                <w:szCs w:val="21"/>
              </w:rPr>
              <w:t>58</w:t>
            </w:r>
          </w:p>
        </w:tc>
      </w:tr>
      <w:tr w:rsidR="00BF317D"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F317D" w:rsidRDefault="00BF317D" w:rsidP="005140B5">
            <w:pPr>
              <w:jc w:val="left"/>
              <w:rPr>
                <w:rFonts w:ascii="Arial" w:hAnsi="Arial" w:cs="Arial"/>
                <w:sz w:val="21"/>
                <w:szCs w:val="21"/>
              </w:rPr>
            </w:pPr>
            <w:r>
              <w:rPr>
                <w:rFonts w:ascii="Arial" w:hAnsi="Arial" w:cs="Arial"/>
                <w:sz w:val="21"/>
                <w:szCs w:val="21"/>
              </w:rPr>
              <w:t>CEDIPIEM</w:t>
            </w:r>
          </w:p>
        </w:tc>
        <w:tc>
          <w:tcPr>
            <w:tcW w:w="3092" w:type="dxa"/>
            <w:tcBorders>
              <w:top w:val="nil"/>
              <w:left w:val="nil"/>
              <w:bottom w:val="nil"/>
              <w:right w:val="nil"/>
            </w:tcBorders>
          </w:tcPr>
          <w:p w:rsidR="00BF317D" w:rsidRDefault="00BC4299" w:rsidP="00BC4299">
            <w:pPr>
              <w:rPr>
                <w:rFonts w:ascii="Arial" w:hAnsi="Arial" w:cs="Arial"/>
                <w:sz w:val="21"/>
                <w:szCs w:val="21"/>
              </w:rPr>
            </w:pPr>
            <w:r>
              <w:rPr>
                <w:rFonts w:ascii="Arial" w:hAnsi="Arial" w:cs="Arial"/>
                <w:sz w:val="21"/>
                <w:szCs w:val="21"/>
              </w:rPr>
              <w:t>Cuotas</w:t>
            </w:r>
            <w:r w:rsidR="00BF317D">
              <w:rPr>
                <w:rFonts w:ascii="Arial" w:hAnsi="Arial" w:cs="Arial"/>
                <w:sz w:val="21"/>
                <w:szCs w:val="21"/>
              </w:rPr>
              <w:t xml:space="preserve"> de </w:t>
            </w:r>
            <w:r>
              <w:rPr>
                <w:rFonts w:ascii="Arial" w:hAnsi="Arial" w:cs="Arial"/>
                <w:sz w:val="21"/>
                <w:szCs w:val="21"/>
              </w:rPr>
              <w:t>dic</w:t>
            </w:r>
            <w:r w:rsidR="00BF317D">
              <w:rPr>
                <w:rFonts w:ascii="Arial" w:hAnsi="Arial" w:cs="Arial"/>
                <w:sz w:val="21"/>
                <w:szCs w:val="21"/>
              </w:rPr>
              <w:t>iembre 2017</w:t>
            </w:r>
          </w:p>
        </w:tc>
        <w:tc>
          <w:tcPr>
            <w:tcW w:w="2976" w:type="dxa"/>
            <w:tcBorders>
              <w:top w:val="nil"/>
              <w:left w:val="nil"/>
              <w:bottom w:val="nil"/>
              <w:right w:val="nil"/>
            </w:tcBorders>
          </w:tcPr>
          <w:p w:rsidR="00BF317D" w:rsidRDefault="00DF143C" w:rsidP="00DF143C">
            <w:pPr>
              <w:jc w:val="right"/>
              <w:rPr>
                <w:rFonts w:ascii="Arial" w:hAnsi="Arial" w:cs="Arial"/>
                <w:sz w:val="21"/>
                <w:szCs w:val="21"/>
              </w:rPr>
            </w:pPr>
            <w:r>
              <w:rPr>
                <w:rFonts w:ascii="Arial" w:hAnsi="Arial" w:cs="Arial"/>
                <w:sz w:val="21"/>
                <w:szCs w:val="21"/>
              </w:rPr>
              <w:t>2</w:t>
            </w:r>
            <w:r w:rsidR="00BF317D">
              <w:rPr>
                <w:rFonts w:ascii="Arial" w:hAnsi="Arial" w:cs="Arial"/>
                <w:sz w:val="21"/>
                <w:szCs w:val="21"/>
              </w:rPr>
              <w:t>,</w:t>
            </w:r>
            <w:r>
              <w:rPr>
                <w:rFonts w:ascii="Arial" w:hAnsi="Arial" w:cs="Arial"/>
                <w:sz w:val="21"/>
                <w:szCs w:val="21"/>
              </w:rPr>
              <w:t>70</w:t>
            </w:r>
            <w:r w:rsidR="00BF317D">
              <w:rPr>
                <w:rFonts w:ascii="Arial" w:hAnsi="Arial" w:cs="Arial"/>
                <w:sz w:val="21"/>
                <w:szCs w:val="21"/>
              </w:rPr>
              <w:t>0.00</w:t>
            </w:r>
          </w:p>
        </w:tc>
      </w:tr>
      <w:tr w:rsidR="005140B5"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5140B5" w:rsidRDefault="005140B5" w:rsidP="005140B5">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p>
        </w:tc>
        <w:tc>
          <w:tcPr>
            <w:tcW w:w="3092" w:type="dxa"/>
            <w:tcBorders>
              <w:top w:val="nil"/>
              <w:left w:val="nil"/>
              <w:bottom w:val="nil"/>
              <w:right w:val="nil"/>
            </w:tcBorders>
          </w:tcPr>
          <w:p w:rsidR="005140B5" w:rsidRDefault="005140B5" w:rsidP="00DF143C">
            <w:pPr>
              <w:rPr>
                <w:rFonts w:ascii="Arial" w:hAnsi="Arial" w:cs="Arial"/>
                <w:sz w:val="21"/>
                <w:szCs w:val="21"/>
              </w:rPr>
            </w:pPr>
            <w:r>
              <w:rPr>
                <w:rFonts w:ascii="Arial" w:hAnsi="Arial" w:cs="Arial"/>
                <w:sz w:val="21"/>
                <w:szCs w:val="21"/>
              </w:rPr>
              <w:t xml:space="preserve">Seguros de </w:t>
            </w:r>
            <w:r w:rsidR="00DF143C">
              <w:rPr>
                <w:rFonts w:ascii="Arial" w:hAnsi="Arial" w:cs="Arial"/>
                <w:sz w:val="21"/>
                <w:szCs w:val="21"/>
              </w:rPr>
              <w:t>dic</w:t>
            </w:r>
            <w:r w:rsidR="00BF317D">
              <w:rPr>
                <w:rFonts w:ascii="Arial" w:hAnsi="Arial" w:cs="Arial"/>
                <w:sz w:val="21"/>
                <w:szCs w:val="21"/>
              </w:rPr>
              <w:t>iembre</w:t>
            </w:r>
            <w:r>
              <w:rPr>
                <w:rFonts w:ascii="Arial" w:hAnsi="Arial" w:cs="Arial"/>
                <w:sz w:val="21"/>
                <w:szCs w:val="21"/>
              </w:rPr>
              <w:t xml:space="preserve"> 2017</w:t>
            </w:r>
          </w:p>
        </w:tc>
        <w:tc>
          <w:tcPr>
            <w:tcW w:w="2976" w:type="dxa"/>
            <w:tcBorders>
              <w:top w:val="nil"/>
              <w:left w:val="nil"/>
              <w:bottom w:val="nil"/>
              <w:right w:val="nil"/>
            </w:tcBorders>
          </w:tcPr>
          <w:p w:rsidR="005140B5" w:rsidRDefault="00A55683" w:rsidP="00A55683">
            <w:pPr>
              <w:jc w:val="right"/>
              <w:rPr>
                <w:rFonts w:ascii="Arial" w:hAnsi="Arial" w:cs="Arial"/>
                <w:sz w:val="21"/>
                <w:szCs w:val="21"/>
              </w:rPr>
            </w:pPr>
            <w:r>
              <w:rPr>
                <w:rFonts w:ascii="Arial" w:hAnsi="Arial" w:cs="Arial"/>
                <w:sz w:val="21"/>
                <w:szCs w:val="21"/>
              </w:rPr>
              <w:t>7,014.54</w:t>
            </w:r>
          </w:p>
        </w:tc>
      </w:tr>
      <w:tr w:rsidR="005140B5"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5140B5" w:rsidRPr="00393F3C" w:rsidRDefault="005140B5" w:rsidP="005140B5">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5140B5" w:rsidRPr="00CD14B6" w:rsidRDefault="00BC425F" w:rsidP="00DF143C">
            <w:pPr>
              <w:jc w:val="right"/>
              <w:rPr>
                <w:rFonts w:ascii="Arial" w:hAnsi="Arial" w:cs="Arial"/>
                <w:b/>
                <w:sz w:val="21"/>
                <w:szCs w:val="21"/>
              </w:rPr>
            </w:pPr>
            <w:r>
              <w:rPr>
                <w:rFonts w:ascii="Arial" w:hAnsi="Arial" w:cs="Arial"/>
                <w:b/>
                <w:sz w:val="21"/>
                <w:szCs w:val="21"/>
              </w:rPr>
              <w:t>6</w:t>
            </w:r>
            <w:r w:rsidR="00DF143C">
              <w:rPr>
                <w:rFonts w:ascii="Arial" w:hAnsi="Arial" w:cs="Arial"/>
                <w:b/>
                <w:sz w:val="21"/>
                <w:szCs w:val="21"/>
              </w:rPr>
              <w:t>68</w:t>
            </w:r>
            <w:r>
              <w:rPr>
                <w:rFonts w:ascii="Arial" w:hAnsi="Arial" w:cs="Arial"/>
                <w:b/>
                <w:sz w:val="21"/>
                <w:szCs w:val="21"/>
              </w:rPr>
              <w:t>,</w:t>
            </w:r>
            <w:r w:rsidR="00DF143C">
              <w:rPr>
                <w:rFonts w:ascii="Arial" w:hAnsi="Arial" w:cs="Arial"/>
                <w:b/>
                <w:sz w:val="21"/>
                <w:szCs w:val="21"/>
              </w:rPr>
              <w:t>971</w:t>
            </w:r>
            <w:r>
              <w:rPr>
                <w:rFonts w:ascii="Arial" w:hAnsi="Arial" w:cs="Arial"/>
                <w:b/>
                <w:sz w:val="21"/>
                <w:szCs w:val="21"/>
              </w:rPr>
              <w:t>.</w:t>
            </w:r>
            <w:r w:rsidR="00DF143C">
              <w:rPr>
                <w:rFonts w:ascii="Arial" w:hAnsi="Arial" w:cs="Arial"/>
                <w:b/>
                <w:sz w:val="21"/>
                <w:szCs w:val="21"/>
              </w:rPr>
              <w:t>75</w:t>
            </w:r>
            <w:r w:rsidR="005140B5">
              <w:rPr>
                <w:rFonts w:ascii="Arial" w:hAnsi="Arial" w:cs="Arial"/>
                <w:b/>
                <w:sz w:val="21"/>
                <w:szCs w:val="21"/>
              </w:rPr>
              <w:fldChar w:fldCharType="begin"/>
            </w:r>
            <w:r w:rsidR="005140B5">
              <w:rPr>
                <w:rFonts w:ascii="Arial" w:hAnsi="Arial" w:cs="Arial"/>
                <w:b/>
                <w:sz w:val="21"/>
                <w:szCs w:val="21"/>
              </w:rPr>
              <w:instrText xml:space="preserve"> =SUM(ABOVE) </w:instrText>
            </w:r>
            <w:r w:rsidR="005140B5">
              <w:rPr>
                <w:rFonts w:ascii="Arial" w:hAnsi="Arial" w:cs="Arial"/>
                <w:b/>
                <w:sz w:val="21"/>
                <w:szCs w:val="21"/>
              </w:rPr>
              <w:fldChar w:fldCharType="end"/>
            </w:r>
          </w:p>
        </w:tc>
      </w:tr>
    </w:tbl>
    <w:p w:rsidR="00393F3C" w:rsidRPr="003811E1" w:rsidRDefault="00393F3C" w:rsidP="00D70639">
      <w:pPr>
        <w:pStyle w:val="Prrafodelista"/>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6A4EEB" w:rsidRPr="00703FC6" w:rsidTr="00871EDA">
        <w:trPr>
          <w:gridAfter w:val="1"/>
          <w:wAfter w:w="126" w:type="dxa"/>
        </w:trPr>
        <w:tc>
          <w:tcPr>
            <w:tcW w:w="3112" w:type="dxa"/>
            <w:vAlign w:val="center"/>
          </w:tcPr>
          <w:p w:rsidR="006A4EEB" w:rsidRDefault="006A4EEB"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6A4EEB" w:rsidRDefault="006A4EEB" w:rsidP="00BB0DC8">
            <w:pPr>
              <w:rPr>
                <w:rFonts w:ascii="Arial" w:hAnsi="Arial" w:cs="Arial"/>
                <w:sz w:val="21"/>
                <w:szCs w:val="21"/>
              </w:rPr>
            </w:pPr>
            <w:r>
              <w:rPr>
                <w:rFonts w:ascii="Arial" w:hAnsi="Arial" w:cs="Arial"/>
                <w:sz w:val="21"/>
                <w:szCs w:val="21"/>
              </w:rPr>
              <w:t>Varias</w:t>
            </w:r>
          </w:p>
        </w:tc>
        <w:tc>
          <w:tcPr>
            <w:tcW w:w="3251" w:type="dxa"/>
            <w:gridSpan w:val="2"/>
            <w:vAlign w:val="center"/>
          </w:tcPr>
          <w:p w:rsidR="006A4EEB" w:rsidRDefault="008837DF" w:rsidP="008837DF">
            <w:pPr>
              <w:jc w:val="right"/>
              <w:rPr>
                <w:rFonts w:ascii="Arial" w:hAnsi="Arial" w:cs="Arial"/>
                <w:sz w:val="21"/>
                <w:szCs w:val="21"/>
              </w:rPr>
            </w:pPr>
            <w:r>
              <w:rPr>
                <w:rFonts w:ascii="Arial" w:hAnsi="Arial" w:cs="Arial"/>
                <w:sz w:val="21"/>
                <w:szCs w:val="21"/>
              </w:rPr>
              <w:t>475</w:t>
            </w:r>
            <w:r w:rsidR="00BC425F">
              <w:rPr>
                <w:rFonts w:ascii="Arial" w:hAnsi="Arial" w:cs="Arial"/>
                <w:sz w:val="21"/>
                <w:szCs w:val="21"/>
              </w:rPr>
              <w:t>,</w:t>
            </w:r>
            <w:r>
              <w:rPr>
                <w:rFonts w:ascii="Arial" w:hAnsi="Arial" w:cs="Arial"/>
                <w:sz w:val="21"/>
                <w:szCs w:val="21"/>
              </w:rPr>
              <w:t>426</w:t>
            </w:r>
            <w:r w:rsidR="00BC425F">
              <w:rPr>
                <w:rFonts w:ascii="Arial" w:hAnsi="Arial" w:cs="Arial"/>
                <w:sz w:val="21"/>
                <w:szCs w:val="21"/>
              </w:rPr>
              <w:t>.4</w:t>
            </w:r>
            <w:r>
              <w:rPr>
                <w:rFonts w:ascii="Arial" w:hAnsi="Arial" w:cs="Arial"/>
                <w:sz w:val="21"/>
                <w:szCs w:val="21"/>
              </w:rPr>
              <w:t>3</w:t>
            </w:r>
          </w:p>
        </w:tc>
      </w:tr>
      <w:tr w:rsidR="0007744F" w:rsidRPr="00703FC6" w:rsidTr="00871EDA">
        <w:trPr>
          <w:gridAfter w:val="1"/>
          <w:wAfter w:w="126" w:type="dxa"/>
        </w:trPr>
        <w:tc>
          <w:tcPr>
            <w:tcW w:w="3112" w:type="dxa"/>
            <w:vAlign w:val="center"/>
          </w:tcPr>
          <w:p w:rsidR="0007744F" w:rsidRDefault="003B4BF2" w:rsidP="00DE6B25">
            <w:pPr>
              <w:jc w:val="left"/>
              <w:rPr>
                <w:rFonts w:ascii="Arial" w:hAnsi="Arial" w:cs="Arial"/>
                <w:sz w:val="21"/>
                <w:szCs w:val="21"/>
              </w:rPr>
            </w:pPr>
            <w:proofErr w:type="spellStart"/>
            <w:r>
              <w:rPr>
                <w:rFonts w:ascii="Arial" w:hAnsi="Arial" w:cs="Arial"/>
                <w:sz w:val="21"/>
                <w:szCs w:val="21"/>
              </w:rPr>
              <w:t>Toka</w:t>
            </w:r>
            <w:proofErr w:type="spellEnd"/>
            <w:r>
              <w:rPr>
                <w:rFonts w:ascii="Arial" w:hAnsi="Arial" w:cs="Arial"/>
                <w:sz w:val="21"/>
                <w:szCs w:val="21"/>
              </w:rPr>
              <w:t xml:space="preserve"> Internacional S.A. de C.V.</w:t>
            </w:r>
          </w:p>
        </w:tc>
        <w:tc>
          <w:tcPr>
            <w:tcW w:w="2691" w:type="dxa"/>
            <w:vAlign w:val="center"/>
          </w:tcPr>
          <w:p w:rsidR="0007744F" w:rsidRDefault="003B4BF2" w:rsidP="00F332B8">
            <w:pPr>
              <w:rPr>
                <w:rFonts w:ascii="Arial" w:hAnsi="Arial" w:cs="Arial"/>
                <w:sz w:val="21"/>
                <w:szCs w:val="21"/>
              </w:rPr>
            </w:pPr>
            <w:r>
              <w:rPr>
                <w:rFonts w:ascii="Arial" w:hAnsi="Arial" w:cs="Arial"/>
                <w:sz w:val="21"/>
                <w:szCs w:val="21"/>
              </w:rPr>
              <w:t>Cheque no cobrado</w:t>
            </w:r>
            <w:r w:rsidR="00F332B8">
              <w:rPr>
                <w:rFonts w:ascii="Arial" w:hAnsi="Arial" w:cs="Arial"/>
                <w:sz w:val="21"/>
                <w:szCs w:val="21"/>
              </w:rPr>
              <w:t xml:space="preserve"> </w:t>
            </w:r>
          </w:p>
        </w:tc>
        <w:tc>
          <w:tcPr>
            <w:tcW w:w="3251" w:type="dxa"/>
            <w:gridSpan w:val="2"/>
            <w:vAlign w:val="center"/>
          </w:tcPr>
          <w:p w:rsidR="0007744F" w:rsidRDefault="003B4BF2" w:rsidP="003B4BF2">
            <w:pPr>
              <w:jc w:val="right"/>
              <w:rPr>
                <w:rFonts w:ascii="Arial" w:hAnsi="Arial" w:cs="Arial"/>
                <w:sz w:val="21"/>
                <w:szCs w:val="21"/>
              </w:rPr>
            </w:pPr>
            <w:r>
              <w:rPr>
                <w:rFonts w:ascii="Arial" w:hAnsi="Arial" w:cs="Arial"/>
                <w:sz w:val="21"/>
                <w:szCs w:val="21"/>
              </w:rPr>
              <w:t>66,832.90</w:t>
            </w:r>
          </w:p>
        </w:tc>
      </w:tr>
      <w:tr w:rsidR="003B4BF2" w:rsidRPr="0091668E" w:rsidTr="00871EDA">
        <w:trPr>
          <w:gridAfter w:val="1"/>
          <w:wAfter w:w="126" w:type="dxa"/>
        </w:trPr>
        <w:tc>
          <w:tcPr>
            <w:tcW w:w="3112" w:type="dxa"/>
            <w:vAlign w:val="center"/>
          </w:tcPr>
          <w:p w:rsidR="003B4BF2" w:rsidRDefault="003B4BF2" w:rsidP="005E6951">
            <w:pPr>
              <w:jc w:val="left"/>
              <w:rPr>
                <w:rFonts w:ascii="Arial" w:hAnsi="Arial" w:cs="Arial"/>
                <w:sz w:val="21"/>
                <w:szCs w:val="21"/>
              </w:rPr>
            </w:pPr>
            <w:r>
              <w:rPr>
                <w:rFonts w:ascii="Arial" w:hAnsi="Arial" w:cs="Arial"/>
                <w:sz w:val="21"/>
                <w:szCs w:val="21"/>
              </w:rPr>
              <w:t>Provisión de gastos 2017</w:t>
            </w:r>
          </w:p>
        </w:tc>
        <w:tc>
          <w:tcPr>
            <w:tcW w:w="2691" w:type="dxa"/>
            <w:vAlign w:val="center"/>
          </w:tcPr>
          <w:p w:rsidR="003B4BF2" w:rsidRDefault="008837DF" w:rsidP="00DE6B25">
            <w:pPr>
              <w:rPr>
                <w:rFonts w:ascii="Arial" w:hAnsi="Arial" w:cs="Arial"/>
                <w:sz w:val="21"/>
                <w:szCs w:val="21"/>
              </w:rPr>
            </w:pPr>
            <w:r>
              <w:rPr>
                <w:rFonts w:ascii="Arial" w:hAnsi="Arial" w:cs="Arial"/>
                <w:sz w:val="21"/>
                <w:szCs w:val="21"/>
              </w:rPr>
              <w:t xml:space="preserve">Retenciones de Seguros </w:t>
            </w:r>
            <w:proofErr w:type="spellStart"/>
            <w:r>
              <w:rPr>
                <w:rFonts w:ascii="Arial" w:hAnsi="Arial" w:cs="Arial"/>
                <w:sz w:val="21"/>
                <w:szCs w:val="21"/>
              </w:rPr>
              <w:t>Hir</w:t>
            </w:r>
            <w:proofErr w:type="spellEnd"/>
          </w:p>
        </w:tc>
        <w:tc>
          <w:tcPr>
            <w:tcW w:w="3251" w:type="dxa"/>
            <w:gridSpan w:val="2"/>
            <w:vAlign w:val="center"/>
          </w:tcPr>
          <w:p w:rsidR="003B4BF2" w:rsidRDefault="008837DF" w:rsidP="008837DF">
            <w:pPr>
              <w:jc w:val="right"/>
              <w:rPr>
                <w:rFonts w:ascii="Arial" w:hAnsi="Arial" w:cs="Arial"/>
                <w:sz w:val="21"/>
                <w:szCs w:val="21"/>
              </w:rPr>
            </w:pPr>
            <w:r>
              <w:rPr>
                <w:rFonts w:ascii="Arial" w:hAnsi="Arial" w:cs="Arial"/>
                <w:sz w:val="21"/>
                <w:szCs w:val="21"/>
              </w:rPr>
              <w:t>94</w:t>
            </w:r>
            <w:r w:rsidR="00BC425F">
              <w:rPr>
                <w:rFonts w:ascii="Arial" w:hAnsi="Arial" w:cs="Arial"/>
                <w:sz w:val="21"/>
                <w:szCs w:val="21"/>
              </w:rPr>
              <w:t>,</w:t>
            </w:r>
            <w:r>
              <w:rPr>
                <w:rFonts w:ascii="Arial" w:hAnsi="Arial" w:cs="Arial"/>
                <w:sz w:val="21"/>
                <w:szCs w:val="21"/>
              </w:rPr>
              <w:t>232</w:t>
            </w:r>
            <w:r w:rsidR="00BC425F">
              <w:rPr>
                <w:rFonts w:ascii="Arial" w:hAnsi="Arial" w:cs="Arial"/>
                <w:sz w:val="21"/>
                <w:szCs w:val="21"/>
              </w:rPr>
              <w:t>.</w:t>
            </w:r>
            <w:r>
              <w:rPr>
                <w:rFonts w:ascii="Arial" w:hAnsi="Arial" w:cs="Arial"/>
                <w:sz w:val="21"/>
                <w:szCs w:val="21"/>
              </w:rPr>
              <w:t>28</w:t>
            </w:r>
          </w:p>
        </w:tc>
      </w:tr>
      <w:tr w:rsidR="003B4BF2" w:rsidRPr="0091668E" w:rsidTr="00871EDA">
        <w:trPr>
          <w:gridAfter w:val="1"/>
          <w:wAfter w:w="126" w:type="dxa"/>
        </w:trPr>
        <w:tc>
          <w:tcPr>
            <w:tcW w:w="3112" w:type="dxa"/>
            <w:vAlign w:val="center"/>
          </w:tcPr>
          <w:p w:rsidR="003B4BF2" w:rsidRDefault="003B4BF2" w:rsidP="003B4BF2">
            <w:pPr>
              <w:jc w:val="left"/>
              <w:rPr>
                <w:rFonts w:ascii="Arial" w:hAnsi="Arial" w:cs="Arial"/>
                <w:sz w:val="21"/>
                <w:szCs w:val="21"/>
              </w:rPr>
            </w:pPr>
            <w:r>
              <w:rPr>
                <w:rFonts w:ascii="Arial" w:hAnsi="Arial" w:cs="Arial"/>
                <w:sz w:val="21"/>
                <w:szCs w:val="21"/>
              </w:rPr>
              <w:t>Cheques en transito</w:t>
            </w:r>
          </w:p>
        </w:tc>
        <w:tc>
          <w:tcPr>
            <w:tcW w:w="2691" w:type="dxa"/>
            <w:vAlign w:val="center"/>
          </w:tcPr>
          <w:p w:rsidR="003B4BF2" w:rsidRDefault="003B4BF2" w:rsidP="00615E02">
            <w:pPr>
              <w:rPr>
                <w:rFonts w:ascii="Arial" w:hAnsi="Arial" w:cs="Arial"/>
                <w:sz w:val="21"/>
                <w:szCs w:val="21"/>
              </w:rPr>
            </w:pPr>
            <w:r>
              <w:rPr>
                <w:rFonts w:ascii="Arial" w:hAnsi="Arial" w:cs="Arial"/>
                <w:sz w:val="21"/>
                <w:szCs w:val="21"/>
              </w:rPr>
              <w:t>Cheques en tr</w:t>
            </w:r>
            <w:r w:rsidR="00615E02">
              <w:rPr>
                <w:rFonts w:ascii="Arial" w:hAnsi="Arial" w:cs="Arial"/>
                <w:sz w:val="21"/>
                <w:szCs w:val="21"/>
              </w:rPr>
              <w:t>á</w:t>
            </w:r>
            <w:r>
              <w:rPr>
                <w:rFonts w:ascii="Arial" w:hAnsi="Arial" w:cs="Arial"/>
                <w:sz w:val="21"/>
                <w:szCs w:val="21"/>
              </w:rPr>
              <w:t>nsito no cobrados</w:t>
            </w:r>
          </w:p>
        </w:tc>
        <w:tc>
          <w:tcPr>
            <w:tcW w:w="3251" w:type="dxa"/>
            <w:gridSpan w:val="2"/>
            <w:vAlign w:val="center"/>
          </w:tcPr>
          <w:p w:rsidR="003B4BF2" w:rsidRDefault="00BC425F" w:rsidP="00BC425F">
            <w:pPr>
              <w:jc w:val="right"/>
              <w:rPr>
                <w:rFonts w:ascii="Arial" w:hAnsi="Arial" w:cs="Arial"/>
                <w:sz w:val="21"/>
                <w:szCs w:val="21"/>
              </w:rPr>
            </w:pPr>
            <w:r>
              <w:rPr>
                <w:rFonts w:ascii="Arial" w:hAnsi="Arial" w:cs="Arial"/>
                <w:sz w:val="21"/>
                <w:szCs w:val="21"/>
              </w:rPr>
              <w:t>8,189.68</w:t>
            </w:r>
          </w:p>
        </w:tc>
      </w:tr>
      <w:tr w:rsidR="008837DF" w:rsidRPr="0091668E" w:rsidTr="00871EDA">
        <w:trPr>
          <w:gridAfter w:val="1"/>
          <w:wAfter w:w="126" w:type="dxa"/>
        </w:trPr>
        <w:tc>
          <w:tcPr>
            <w:tcW w:w="3112" w:type="dxa"/>
            <w:vAlign w:val="center"/>
          </w:tcPr>
          <w:p w:rsidR="008837DF" w:rsidRDefault="008837DF" w:rsidP="003B4BF2">
            <w:pPr>
              <w:jc w:val="left"/>
              <w:rPr>
                <w:rFonts w:ascii="Arial" w:hAnsi="Arial" w:cs="Arial"/>
                <w:sz w:val="21"/>
                <w:szCs w:val="21"/>
              </w:rPr>
            </w:pPr>
            <w:r>
              <w:rPr>
                <w:rFonts w:ascii="Arial" w:hAnsi="Arial" w:cs="Arial"/>
                <w:sz w:val="21"/>
                <w:szCs w:val="21"/>
              </w:rPr>
              <w:t>Municipio de Cuautitlán</w:t>
            </w:r>
          </w:p>
        </w:tc>
        <w:tc>
          <w:tcPr>
            <w:tcW w:w="2691" w:type="dxa"/>
            <w:vAlign w:val="center"/>
          </w:tcPr>
          <w:p w:rsidR="008837DF" w:rsidRDefault="008837DF" w:rsidP="00615E02">
            <w:pPr>
              <w:rPr>
                <w:rFonts w:ascii="Arial" w:hAnsi="Arial" w:cs="Arial"/>
                <w:sz w:val="21"/>
                <w:szCs w:val="21"/>
              </w:rPr>
            </w:pPr>
            <w:r>
              <w:rPr>
                <w:rFonts w:ascii="Arial" w:hAnsi="Arial" w:cs="Arial"/>
                <w:sz w:val="21"/>
                <w:szCs w:val="21"/>
              </w:rPr>
              <w:t>Diferencia en pago</w:t>
            </w:r>
          </w:p>
        </w:tc>
        <w:tc>
          <w:tcPr>
            <w:tcW w:w="3251" w:type="dxa"/>
            <w:gridSpan w:val="2"/>
            <w:vAlign w:val="center"/>
          </w:tcPr>
          <w:p w:rsidR="008837DF" w:rsidRDefault="008837DF" w:rsidP="00BC425F">
            <w:pPr>
              <w:jc w:val="right"/>
              <w:rPr>
                <w:rFonts w:ascii="Arial" w:hAnsi="Arial" w:cs="Arial"/>
                <w:sz w:val="21"/>
                <w:szCs w:val="21"/>
              </w:rPr>
            </w:pPr>
            <w:r>
              <w:rPr>
                <w:rFonts w:ascii="Arial" w:hAnsi="Arial" w:cs="Arial"/>
                <w:sz w:val="21"/>
                <w:szCs w:val="21"/>
              </w:rPr>
              <w:t>2,500.00</w:t>
            </w:r>
          </w:p>
        </w:tc>
      </w:tr>
      <w:tr w:rsidR="008837DF" w:rsidRPr="0091668E" w:rsidTr="00871EDA">
        <w:trPr>
          <w:gridAfter w:val="1"/>
          <w:wAfter w:w="126" w:type="dxa"/>
        </w:trPr>
        <w:tc>
          <w:tcPr>
            <w:tcW w:w="3112" w:type="dxa"/>
            <w:vAlign w:val="center"/>
          </w:tcPr>
          <w:p w:rsidR="008837DF" w:rsidRDefault="008837DF" w:rsidP="003B4BF2">
            <w:pPr>
              <w:jc w:val="left"/>
              <w:rPr>
                <w:rFonts w:ascii="Arial" w:hAnsi="Arial" w:cs="Arial"/>
                <w:sz w:val="21"/>
                <w:szCs w:val="21"/>
              </w:rPr>
            </w:pPr>
            <w:r>
              <w:rPr>
                <w:rFonts w:ascii="Arial" w:hAnsi="Arial" w:cs="Arial"/>
                <w:sz w:val="21"/>
                <w:szCs w:val="21"/>
              </w:rPr>
              <w:t>Monserrat Méndez Melo</w:t>
            </w:r>
          </w:p>
        </w:tc>
        <w:tc>
          <w:tcPr>
            <w:tcW w:w="2691" w:type="dxa"/>
            <w:vAlign w:val="center"/>
          </w:tcPr>
          <w:p w:rsidR="008837DF" w:rsidRDefault="008837DF" w:rsidP="00615E02">
            <w:pPr>
              <w:rPr>
                <w:rFonts w:ascii="Arial" w:hAnsi="Arial" w:cs="Arial"/>
                <w:sz w:val="21"/>
                <w:szCs w:val="21"/>
              </w:rPr>
            </w:pPr>
            <w:r>
              <w:rPr>
                <w:rFonts w:ascii="Arial" w:hAnsi="Arial" w:cs="Arial"/>
                <w:sz w:val="21"/>
                <w:szCs w:val="21"/>
              </w:rPr>
              <w:t>Complemento de finiquito</w:t>
            </w:r>
          </w:p>
        </w:tc>
        <w:tc>
          <w:tcPr>
            <w:tcW w:w="3251" w:type="dxa"/>
            <w:gridSpan w:val="2"/>
            <w:vAlign w:val="center"/>
          </w:tcPr>
          <w:p w:rsidR="008837DF" w:rsidRDefault="008837DF" w:rsidP="00BC425F">
            <w:pPr>
              <w:jc w:val="right"/>
              <w:rPr>
                <w:rFonts w:ascii="Arial" w:hAnsi="Arial" w:cs="Arial"/>
                <w:sz w:val="21"/>
                <w:szCs w:val="21"/>
              </w:rPr>
            </w:pPr>
            <w:r>
              <w:rPr>
                <w:rFonts w:ascii="Arial" w:hAnsi="Arial" w:cs="Arial"/>
                <w:sz w:val="21"/>
                <w:szCs w:val="21"/>
              </w:rPr>
              <w:t>1,500.00</w:t>
            </w:r>
          </w:p>
        </w:tc>
      </w:tr>
      <w:tr w:rsidR="00EB2387" w:rsidRPr="0091668E" w:rsidTr="004443AD">
        <w:trPr>
          <w:gridAfter w:val="1"/>
          <w:wAfter w:w="126" w:type="dxa"/>
        </w:trPr>
        <w:tc>
          <w:tcPr>
            <w:tcW w:w="3112" w:type="dxa"/>
          </w:tcPr>
          <w:p w:rsidR="00EB2387" w:rsidRPr="00393F3C" w:rsidRDefault="00EB2387" w:rsidP="00EB2387">
            <w:pPr>
              <w:jc w:val="right"/>
              <w:rPr>
                <w:rFonts w:ascii="Arial" w:hAnsi="Arial" w:cs="Arial"/>
                <w:b/>
                <w:sz w:val="21"/>
                <w:szCs w:val="21"/>
              </w:rPr>
            </w:pPr>
          </w:p>
        </w:tc>
        <w:tc>
          <w:tcPr>
            <w:tcW w:w="2691" w:type="dxa"/>
          </w:tcPr>
          <w:p w:rsidR="00EB2387" w:rsidRPr="00393F3C" w:rsidRDefault="00EB2387" w:rsidP="00EB2387">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EB2387" w:rsidRPr="00895BD4" w:rsidRDefault="008837DF" w:rsidP="008837DF">
            <w:pPr>
              <w:jc w:val="right"/>
              <w:rPr>
                <w:rFonts w:ascii="Arial" w:hAnsi="Arial" w:cs="Arial"/>
                <w:b/>
                <w:sz w:val="21"/>
                <w:szCs w:val="21"/>
              </w:rPr>
            </w:pPr>
            <w:r>
              <w:rPr>
                <w:rFonts w:ascii="Arial" w:hAnsi="Arial" w:cs="Arial"/>
                <w:b/>
                <w:sz w:val="21"/>
                <w:szCs w:val="21"/>
              </w:rPr>
              <w:t>648</w:t>
            </w:r>
            <w:r w:rsidR="00BC425F">
              <w:rPr>
                <w:rFonts w:ascii="Arial" w:hAnsi="Arial" w:cs="Arial"/>
                <w:b/>
                <w:sz w:val="21"/>
                <w:szCs w:val="21"/>
              </w:rPr>
              <w:t>,</w:t>
            </w:r>
            <w:r>
              <w:rPr>
                <w:rFonts w:ascii="Arial" w:hAnsi="Arial" w:cs="Arial"/>
                <w:b/>
                <w:sz w:val="21"/>
                <w:szCs w:val="21"/>
              </w:rPr>
              <w:t>681</w:t>
            </w:r>
            <w:r w:rsidR="00BC425F">
              <w:rPr>
                <w:rFonts w:ascii="Arial" w:hAnsi="Arial" w:cs="Arial"/>
                <w:b/>
                <w:sz w:val="21"/>
                <w:szCs w:val="21"/>
              </w:rPr>
              <w:t>.</w:t>
            </w:r>
            <w:r>
              <w:rPr>
                <w:rFonts w:ascii="Arial" w:hAnsi="Arial" w:cs="Arial"/>
                <w:b/>
                <w:sz w:val="21"/>
                <w:szCs w:val="21"/>
              </w:rPr>
              <w:t>2</w:t>
            </w:r>
            <w:r w:rsidR="00BC425F">
              <w:rPr>
                <w:rFonts w:ascii="Arial" w:hAnsi="Arial" w:cs="Arial"/>
                <w:b/>
                <w:sz w:val="21"/>
                <w:szCs w:val="21"/>
              </w:rPr>
              <w:t>9</w:t>
            </w:r>
          </w:p>
        </w:tc>
      </w:tr>
      <w:tr w:rsidR="00EB2387"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EB2387" w:rsidRPr="003A7995" w:rsidRDefault="00EB2387" w:rsidP="00EB2387">
            <w:pPr>
              <w:rPr>
                <w:rFonts w:ascii="Arial" w:hAnsi="Arial" w:cs="Arial"/>
                <w:sz w:val="21"/>
                <w:szCs w:val="21"/>
              </w:rPr>
            </w:pPr>
          </w:p>
        </w:tc>
        <w:tc>
          <w:tcPr>
            <w:tcW w:w="1275" w:type="dxa"/>
            <w:gridSpan w:val="2"/>
            <w:tcBorders>
              <w:top w:val="nil"/>
              <w:left w:val="nil"/>
              <w:bottom w:val="nil"/>
              <w:right w:val="nil"/>
            </w:tcBorders>
          </w:tcPr>
          <w:p w:rsidR="00EB2387" w:rsidRPr="00561D34" w:rsidRDefault="00EB2387" w:rsidP="00EB2387">
            <w:pPr>
              <w:rPr>
                <w:rFonts w:ascii="Arial" w:hAnsi="Arial" w:cs="Arial"/>
                <w:b/>
                <w:sz w:val="21"/>
                <w:szCs w:val="21"/>
              </w:rPr>
            </w:pPr>
          </w:p>
        </w:tc>
      </w:tr>
    </w:tbl>
    <w:p w:rsidR="00BC425F" w:rsidRPr="00BC425F" w:rsidRDefault="00BC425F" w:rsidP="00BC425F">
      <w:pPr>
        <w:ind w:left="360"/>
        <w:rPr>
          <w:rFonts w:ascii="Arial" w:hAnsi="Arial" w:cs="Arial"/>
          <w:sz w:val="21"/>
          <w:szCs w:val="21"/>
        </w:rPr>
      </w:pPr>
    </w:p>
    <w:p w:rsidR="00C3186F" w:rsidRDefault="00F76A32" w:rsidP="00F76A32">
      <w:pPr>
        <w:pStyle w:val="Prrafodelista"/>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Default="00AA7CFC" w:rsidP="00AA7CFC">
      <w:pPr>
        <w:rPr>
          <w:rFonts w:ascii="Arial" w:eastAsia="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p w:rsidR="00C97AAA" w:rsidRDefault="00C97AAA" w:rsidP="00AA7CFC">
      <w:pPr>
        <w:rPr>
          <w:rFonts w:ascii="Arial" w:eastAsia="Arial" w:hAnsi="Arial" w:cs="Arial"/>
          <w:sz w:val="21"/>
          <w:szCs w:val="21"/>
        </w:rPr>
      </w:pP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9E16E9">
            <w:pPr>
              <w:jc w:val="right"/>
              <w:rPr>
                <w:rFonts w:ascii="Arial" w:hAnsi="Arial" w:cs="Arial"/>
                <w:sz w:val="21"/>
                <w:szCs w:val="21"/>
              </w:rPr>
            </w:pPr>
            <w:r>
              <w:rPr>
                <w:rFonts w:ascii="Arial" w:hAnsi="Arial" w:cs="Arial"/>
                <w:sz w:val="21"/>
                <w:szCs w:val="21"/>
              </w:rPr>
              <w:t>15,408,27</w:t>
            </w:r>
            <w:r w:rsidR="009E16E9">
              <w:rPr>
                <w:rFonts w:ascii="Arial" w:hAnsi="Arial" w:cs="Arial"/>
                <w:sz w:val="21"/>
                <w:szCs w:val="21"/>
              </w:rPr>
              <w:t>3</w:t>
            </w:r>
            <w:r>
              <w:rPr>
                <w:rFonts w:ascii="Arial" w:hAnsi="Arial" w:cs="Arial"/>
                <w:sz w:val="21"/>
                <w:szCs w:val="21"/>
              </w:rPr>
              <w:t>.98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8837DF" w:rsidP="008837DF">
            <w:pPr>
              <w:spacing w:before="100" w:after="100"/>
              <w:jc w:val="right"/>
              <w:rPr>
                <w:rFonts w:ascii="Arial" w:hAnsi="Arial" w:cs="Arial"/>
                <w:sz w:val="21"/>
                <w:szCs w:val="21"/>
              </w:rPr>
            </w:pPr>
            <w:r>
              <w:rPr>
                <w:rFonts w:ascii="Arial" w:hAnsi="Arial" w:cs="Arial"/>
                <w:sz w:val="21"/>
                <w:szCs w:val="21"/>
              </w:rPr>
              <w:t>7</w:t>
            </w:r>
            <w:r w:rsidR="00BC425F">
              <w:rPr>
                <w:rFonts w:ascii="Arial" w:hAnsi="Arial" w:cs="Arial"/>
                <w:sz w:val="21"/>
                <w:szCs w:val="21"/>
              </w:rPr>
              <w:t>,</w:t>
            </w:r>
            <w:r>
              <w:rPr>
                <w:rFonts w:ascii="Arial" w:hAnsi="Arial" w:cs="Arial"/>
                <w:sz w:val="21"/>
                <w:szCs w:val="21"/>
              </w:rPr>
              <w:t>300</w:t>
            </w:r>
            <w:r w:rsidR="00BC425F">
              <w:rPr>
                <w:rFonts w:ascii="Arial" w:hAnsi="Arial" w:cs="Arial"/>
                <w:sz w:val="21"/>
                <w:szCs w:val="21"/>
              </w:rPr>
              <w:t>,</w:t>
            </w:r>
            <w:r>
              <w:rPr>
                <w:rFonts w:ascii="Arial" w:hAnsi="Arial" w:cs="Arial"/>
                <w:sz w:val="21"/>
                <w:szCs w:val="21"/>
              </w:rPr>
              <w:t>794</w:t>
            </w:r>
            <w:r w:rsidR="00BC425F">
              <w:rPr>
                <w:rFonts w:ascii="Arial" w:hAnsi="Arial" w:cs="Arial"/>
                <w:sz w:val="21"/>
                <w:szCs w:val="21"/>
              </w:rPr>
              <w:t>.</w:t>
            </w:r>
            <w:r>
              <w:rPr>
                <w:rFonts w:ascii="Arial" w:hAnsi="Arial" w:cs="Arial"/>
                <w:sz w:val="21"/>
                <w:szCs w:val="21"/>
              </w:rPr>
              <w:t>14</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357787" w:rsidP="00357787">
            <w:pPr>
              <w:jc w:val="right"/>
              <w:rPr>
                <w:rFonts w:ascii="Arial" w:hAnsi="Arial" w:cs="Arial"/>
                <w:sz w:val="21"/>
                <w:szCs w:val="21"/>
              </w:rPr>
            </w:pPr>
            <w:r>
              <w:rPr>
                <w:rFonts w:ascii="Arial" w:hAnsi="Arial" w:cs="Arial"/>
                <w:sz w:val="21"/>
                <w:szCs w:val="21"/>
              </w:rPr>
              <w:t>5,462,140.13</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BC425F" w:rsidP="008837DF">
            <w:pPr>
              <w:jc w:val="right"/>
              <w:rPr>
                <w:rFonts w:ascii="Arial" w:hAnsi="Arial" w:cs="Arial"/>
                <w:b/>
                <w:sz w:val="21"/>
                <w:szCs w:val="21"/>
              </w:rPr>
            </w:pPr>
            <w:r>
              <w:rPr>
                <w:rFonts w:ascii="Arial" w:hAnsi="Arial" w:cs="Arial"/>
                <w:b/>
                <w:sz w:val="21"/>
                <w:szCs w:val="21"/>
              </w:rPr>
              <w:t>3</w:t>
            </w:r>
            <w:r w:rsidR="008837DF">
              <w:rPr>
                <w:rFonts w:ascii="Arial" w:hAnsi="Arial" w:cs="Arial"/>
                <w:b/>
                <w:sz w:val="21"/>
                <w:szCs w:val="21"/>
              </w:rPr>
              <w:t>3</w:t>
            </w:r>
            <w:r>
              <w:rPr>
                <w:rFonts w:ascii="Arial" w:hAnsi="Arial" w:cs="Arial"/>
                <w:b/>
                <w:sz w:val="21"/>
                <w:szCs w:val="21"/>
              </w:rPr>
              <w:t>,</w:t>
            </w:r>
            <w:r w:rsidR="008837DF">
              <w:rPr>
                <w:rFonts w:ascii="Arial" w:hAnsi="Arial" w:cs="Arial"/>
                <w:b/>
                <w:sz w:val="21"/>
                <w:szCs w:val="21"/>
              </w:rPr>
              <w:t>332</w:t>
            </w:r>
            <w:r>
              <w:rPr>
                <w:rFonts w:ascii="Arial" w:hAnsi="Arial" w:cs="Arial"/>
                <w:b/>
                <w:sz w:val="21"/>
                <w:szCs w:val="21"/>
              </w:rPr>
              <w:t>,</w:t>
            </w:r>
            <w:r w:rsidR="008837DF">
              <w:rPr>
                <w:rFonts w:ascii="Arial" w:hAnsi="Arial" w:cs="Arial"/>
                <w:b/>
                <w:sz w:val="21"/>
                <w:szCs w:val="21"/>
              </w:rPr>
              <w:t>462</w:t>
            </w:r>
            <w:r>
              <w:rPr>
                <w:rFonts w:ascii="Arial" w:hAnsi="Arial" w:cs="Arial"/>
                <w:b/>
                <w:sz w:val="21"/>
                <w:szCs w:val="21"/>
              </w:rPr>
              <w:t>.</w:t>
            </w:r>
            <w:r w:rsidR="008837DF">
              <w:rPr>
                <w:rFonts w:ascii="Arial" w:hAnsi="Arial" w:cs="Arial"/>
                <w:b/>
                <w:sz w:val="21"/>
                <w:szCs w:val="21"/>
              </w:rPr>
              <w:t>88</w:t>
            </w:r>
          </w:p>
        </w:tc>
      </w:tr>
    </w:tbl>
    <w:p w:rsidR="00F76A32" w:rsidRPr="00E03286" w:rsidRDefault="00B1613F" w:rsidP="00E03286">
      <w:pPr>
        <w:ind w:left="360"/>
        <w:rPr>
          <w:rFonts w:ascii="Arial" w:hAnsi="Arial" w:cs="Arial"/>
          <w:sz w:val="21"/>
          <w:szCs w:val="21"/>
        </w:rPr>
      </w:pPr>
      <w:r>
        <w:rPr>
          <w:rFonts w:ascii="Arial" w:hAnsi="Arial" w:cs="Arial"/>
          <w:sz w:val="21"/>
          <w:szCs w:val="21"/>
        </w:rPr>
        <w:lastRenderedPageBreak/>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Prrafodelista"/>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se detallan a continuación: </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6428AA" w:rsidP="006428AA">
            <w:pPr>
              <w:jc w:val="right"/>
              <w:rPr>
                <w:rFonts w:ascii="Arial" w:hAnsi="Arial" w:cs="Arial"/>
                <w:sz w:val="21"/>
                <w:szCs w:val="21"/>
              </w:rPr>
            </w:pPr>
            <w:r>
              <w:rPr>
                <w:rFonts w:ascii="Arial" w:hAnsi="Arial" w:cs="Arial"/>
                <w:sz w:val="21"/>
                <w:szCs w:val="21"/>
              </w:rPr>
              <w:t>82</w:t>
            </w:r>
            <w:r w:rsidR="00C217D1">
              <w:rPr>
                <w:rFonts w:ascii="Arial" w:hAnsi="Arial" w:cs="Arial"/>
                <w:sz w:val="21"/>
                <w:szCs w:val="21"/>
              </w:rPr>
              <w:t>1,</w:t>
            </w:r>
            <w:r>
              <w:rPr>
                <w:rFonts w:ascii="Arial" w:hAnsi="Arial" w:cs="Arial"/>
                <w:sz w:val="21"/>
                <w:szCs w:val="21"/>
              </w:rPr>
              <w:t>75</w:t>
            </w:r>
            <w:r w:rsidR="00C217D1">
              <w:rPr>
                <w:rFonts w:ascii="Arial" w:hAnsi="Arial" w:cs="Arial"/>
                <w:sz w:val="21"/>
                <w:szCs w:val="21"/>
              </w:rPr>
              <w:t>0.00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C217D1" w:rsidP="006428AA">
            <w:pPr>
              <w:jc w:val="right"/>
              <w:rPr>
                <w:rFonts w:ascii="Arial" w:hAnsi="Arial" w:cs="Arial"/>
                <w:sz w:val="21"/>
                <w:szCs w:val="21"/>
              </w:rPr>
            </w:pPr>
            <w:r>
              <w:rPr>
                <w:rFonts w:ascii="Arial" w:hAnsi="Arial" w:cs="Arial"/>
                <w:sz w:val="21"/>
                <w:szCs w:val="21"/>
              </w:rPr>
              <w:t>3,</w:t>
            </w:r>
            <w:r w:rsidR="006428AA">
              <w:rPr>
                <w:rFonts w:ascii="Arial" w:hAnsi="Arial" w:cs="Arial"/>
                <w:sz w:val="21"/>
                <w:szCs w:val="21"/>
              </w:rPr>
              <w:t>729</w:t>
            </w:r>
            <w:r>
              <w:rPr>
                <w:rFonts w:ascii="Arial" w:hAnsi="Arial" w:cs="Arial"/>
                <w:sz w:val="21"/>
                <w:szCs w:val="21"/>
              </w:rPr>
              <w:t>,</w:t>
            </w:r>
            <w:r w:rsidR="006428AA">
              <w:rPr>
                <w:rFonts w:ascii="Arial" w:hAnsi="Arial" w:cs="Arial"/>
                <w:sz w:val="21"/>
                <w:szCs w:val="21"/>
              </w:rPr>
              <w:t>229</w:t>
            </w:r>
            <w:r>
              <w:rPr>
                <w:rFonts w:ascii="Arial" w:hAnsi="Arial" w:cs="Arial"/>
                <w:sz w:val="21"/>
                <w:szCs w:val="21"/>
              </w:rPr>
              <w:t>.</w:t>
            </w:r>
            <w:r w:rsidR="006428AA">
              <w:rPr>
                <w:rFonts w:ascii="Arial" w:hAnsi="Arial" w:cs="Arial"/>
                <w:sz w:val="21"/>
                <w:szCs w:val="21"/>
              </w:rPr>
              <w:t>65</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de </w:t>
            </w:r>
            <w:r>
              <w:rPr>
                <w:rFonts w:ascii="Arial" w:hAnsi="Arial" w:cs="Arial"/>
                <w:sz w:val="21"/>
                <w:szCs w:val="21"/>
              </w:rPr>
              <w:t xml:space="preserve"> Información</w:t>
            </w:r>
          </w:p>
        </w:tc>
        <w:tc>
          <w:tcPr>
            <w:tcW w:w="3118" w:type="dxa"/>
            <w:vAlign w:val="center"/>
          </w:tcPr>
          <w:p w:rsidR="00657677" w:rsidRPr="004D11EC" w:rsidRDefault="006428AA" w:rsidP="006428AA">
            <w:pPr>
              <w:jc w:val="right"/>
              <w:rPr>
                <w:rFonts w:ascii="Arial" w:hAnsi="Arial" w:cs="Arial"/>
                <w:sz w:val="21"/>
                <w:szCs w:val="21"/>
              </w:rPr>
            </w:pPr>
            <w:r>
              <w:rPr>
                <w:rFonts w:ascii="Arial" w:hAnsi="Arial" w:cs="Arial"/>
                <w:sz w:val="21"/>
                <w:szCs w:val="21"/>
              </w:rPr>
              <w:t>2</w:t>
            </w:r>
            <w:r w:rsidR="00C217D1">
              <w:rPr>
                <w:rFonts w:ascii="Arial" w:hAnsi="Arial" w:cs="Arial"/>
                <w:sz w:val="21"/>
                <w:szCs w:val="21"/>
              </w:rPr>
              <w:t>,</w:t>
            </w:r>
            <w:r>
              <w:rPr>
                <w:rFonts w:ascii="Arial" w:hAnsi="Arial" w:cs="Arial"/>
                <w:sz w:val="21"/>
                <w:szCs w:val="21"/>
              </w:rPr>
              <w:t>000</w:t>
            </w:r>
            <w:r w:rsidR="00C217D1">
              <w:rPr>
                <w:rFonts w:ascii="Arial" w:hAnsi="Arial" w:cs="Arial"/>
                <w:sz w:val="21"/>
                <w:szCs w:val="21"/>
              </w:rPr>
              <w:t>,</w:t>
            </w:r>
            <w:r>
              <w:rPr>
                <w:rFonts w:ascii="Arial" w:hAnsi="Arial" w:cs="Arial"/>
                <w:sz w:val="21"/>
                <w:szCs w:val="21"/>
              </w:rPr>
              <w:t>495</w:t>
            </w:r>
            <w:r w:rsidR="00C217D1">
              <w:rPr>
                <w:rFonts w:ascii="Arial" w:hAnsi="Arial" w:cs="Arial"/>
                <w:sz w:val="21"/>
                <w:szCs w:val="21"/>
              </w:rPr>
              <w:t>.7</w:t>
            </w:r>
            <w:r>
              <w:rPr>
                <w:rFonts w:ascii="Arial" w:hAnsi="Arial" w:cs="Arial"/>
                <w:sz w:val="21"/>
                <w:szCs w:val="21"/>
              </w:rPr>
              <w:t>7</w:t>
            </w:r>
          </w:p>
        </w:tc>
      </w:tr>
      <w:tr w:rsidR="00015142" w:rsidRPr="004D11EC" w:rsidTr="00BD3E07">
        <w:tc>
          <w:tcPr>
            <w:tcW w:w="3510" w:type="dxa"/>
            <w:vAlign w:val="center"/>
          </w:tcPr>
          <w:p w:rsidR="00015142" w:rsidRPr="004D11EC" w:rsidRDefault="00015142" w:rsidP="00015142">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015142" w:rsidRPr="004D11EC" w:rsidRDefault="006428AA" w:rsidP="006428AA">
            <w:pPr>
              <w:jc w:val="right"/>
              <w:rPr>
                <w:rFonts w:ascii="Arial" w:hAnsi="Arial" w:cs="Arial"/>
                <w:sz w:val="21"/>
                <w:szCs w:val="21"/>
              </w:rPr>
            </w:pPr>
            <w:r>
              <w:rPr>
                <w:rFonts w:ascii="Arial" w:hAnsi="Arial" w:cs="Arial"/>
                <w:sz w:val="21"/>
                <w:szCs w:val="21"/>
              </w:rPr>
              <w:t>2</w:t>
            </w:r>
            <w:r w:rsidR="00C217D1">
              <w:rPr>
                <w:rFonts w:ascii="Arial" w:hAnsi="Arial" w:cs="Arial"/>
                <w:sz w:val="21"/>
                <w:szCs w:val="21"/>
              </w:rPr>
              <w:t>,</w:t>
            </w:r>
            <w:r>
              <w:rPr>
                <w:rFonts w:ascii="Arial" w:hAnsi="Arial" w:cs="Arial"/>
                <w:sz w:val="21"/>
                <w:szCs w:val="21"/>
              </w:rPr>
              <w:t>392</w:t>
            </w:r>
            <w:r w:rsidR="00C217D1">
              <w:rPr>
                <w:rFonts w:ascii="Arial" w:hAnsi="Arial" w:cs="Arial"/>
                <w:sz w:val="21"/>
                <w:szCs w:val="21"/>
              </w:rPr>
              <w:t>,</w:t>
            </w:r>
            <w:r>
              <w:rPr>
                <w:rFonts w:ascii="Arial" w:hAnsi="Arial" w:cs="Arial"/>
                <w:sz w:val="21"/>
                <w:szCs w:val="21"/>
              </w:rPr>
              <w:t>071</w:t>
            </w:r>
            <w:r w:rsidR="00C217D1">
              <w:rPr>
                <w:rFonts w:ascii="Arial" w:hAnsi="Arial" w:cs="Arial"/>
                <w:sz w:val="21"/>
                <w:szCs w:val="21"/>
              </w:rPr>
              <w:t>.</w:t>
            </w:r>
            <w:r>
              <w:rPr>
                <w:rFonts w:ascii="Arial" w:hAnsi="Arial" w:cs="Arial"/>
                <w:sz w:val="21"/>
                <w:szCs w:val="21"/>
              </w:rPr>
              <w:t>97</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6428AA" w:rsidP="006428AA">
            <w:pPr>
              <w:jc w:val="right"/>
              <w:rPr>
                <w:rFonts w:ascii="Arial" w:hAnsi="Arial" w:cs="Arial"/>
                <w:b/>
                <w:sz w:val="21"/>
                <w:szCs w:val="21"/>
              </w:rPr>
            </w:pPr>
            <w:r>
              <w:rPr>
                <w:rFonts w:ascii="Arial" w:hAnsi="Arial" w:cs="Arial"/>
                <w:b/>
                <w:sz w:val="21"/>
                <w:szCs w:val="21"/>
              </w:rPr>
              <w:t>8</w:t>
            </w:r>
            <w:r w:rsidR="00C217D1">
              <w:rPr>
                <w:rFonts w:ascii="Arial" w:hAnsi="Arial" w:cs="Arial"/>
                <w:b/>
                <w:sz w:val="21"/>
                <w:szCs w:val="21"/>
              </w:rPr>
              <w:t>,</w:t>
            </w:r>
            <w:r>
              <w:rPr>
                <w:rFonts w:ascii="Arial" w:hAnsi="Arial" w:cs="Arial"/>
                <w:b/>
                <w:sz w:val="21"/>
                <w:szCs w:val="21"/>
              </w:rPr>
              <w:t>94</w:t>
            </w:r>
            <w:r w:rsidR="00C217D1">
              <w:rPr>
                <w:rFonts w:ascii="Arial" w:hAnsi="Arial" w:cs="Arial"/>
                <w:b/>
                <w:sz w:val="21"/>
                <w:szCs w:val="21"/>
              </w:rPr>
              <w:t>3,</w:t>
            </w:r>
            <w:r>
              <w:rPr>
                <w:rFonts w:ascii="Arial" w:hAnsi="Arial" w:cs="Arial"/>
                <w:b/>
                <w:sz w:val="21"/>
                <w:szCs w:val="21"/>
              </w:rPr>
              <w:t>547</w:t>
            </w:r>
            <w:r w:rsidR="00C217D1">
              <w:rPr>
                <w:rFonts w:ascii="Arial" w:hAnsi="Arial" w:cs="Arial"/>
                <w:b/>
                <w:sz w:val="21"/>
                <w:szCs w:val="21"/>
              </w:rPr>
              <w:t>.</w:t>
            </w:r>
            <w:r>
              <w:rPr>
                <w:rFonts w:ascii="Arial" w:hAnsi="Arial" w:cs="Arial"/>
                <w:b/>
                <w:sz w:val="21"/>
                <w:szCs w:val="21"/>
              </w:rPr>
              <w:t>39</w:t>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E1703" w:rsidRDefault="00BE1703" w:rsidP="008D661C">
            <w:pPr>
              <w:jc w:val="right"/>
              <w:rPr>
                <w:rFonts w:ascii="Arial" w:hAnsi="Arial" w:cs="Arial"/>
                <w:b/>
                <w:sz w:val="21"/>
                <w:szCs w:val="21"/>
              </w:rPr>
            </w:pPr>
          </w:p>
        </w:tc>
      </w:tr>
    </w:tbl>
    <w:p w:rsidR="00D70639" w:rsidRDefault="00657677" w:rsidP="00657677">
      <w:pPr>
        <w:pStyle w:val="Prrafodelista"/>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w:t>
      </w:r>
      <w:r w:rsidR="00781370">
        <w:rPr>
          <w:rFonts w:ascii="Arial" w:hAnsi="Arial" w:cs="Arial"/>
          <w:sz w:val="21"/>
          <w:szCs w:val="21"/>
        </w:rPr>
        <w:t>fue por $</w:t>
      </w:r>
      <w:r w:rsidR="005405B5">
        <w:rPr>
          <w:rFonts w:ascii="Arial" w:hAnsi="Arial" w:cs="Arial"/>
          <w:sz w:val="21"/>
          <w:szCs w:val="21"/>
        </w:rPr>
        <w:t>78</w:t>
      </w:r>
      <w:r w:rsidR="00C217D1">
        <w:rPr>
          <w:rFonts w:ascii="Arial" w:hAnsi="Arial" w:cs="Arial"/>
          <w:sz w:val="21"/>
          <w:szCs w:val="21"/>
        </w:rPr>
        <w:t>,40</w:t>
      </w:r>
      <w:r w:rsidR="005405B5">
        <w:rPr>
          <w:rFonts w:ascii="Arial" w:hAnsi="Arial" w:cs="Arial"/>
          <w:sz w:val="21"/>
          <w:szCs w:val="21"/>
        </w:rPr>
        <w:t>2</w:t>
      </w:r>
      <w:r w:rsidR="00C217D1">
        <w:rPr>
          <w:rFonts w:ascii="Arial" w:hAnsi="Arial" w:cs="Arial"/>
          <w:sz w:val="21"/>
          <w:szCs w:val="21"/>
        </w:rPr>
        <w:t>,9</w:t>
      </w:r>
      <w:r w:rsidR="005405B5">
        <w:rPr>
          <w:rFonts w:ascii="Arial" w:hAnsi="Arial" w:cs="Arial"/>
          <w:sz w:val="21"/>
          <w:szCs w:val="21"/>
        </w:rPr>
        <w:t>01</w:t>
      </w:r>
      <w:r w:rsidR="00C217D1">
        <w:rPr>
          <w:rFonts w:ascii="Arial" w:hAnsi="Arial" w:cs="Arial"/>
          <w:sz w:val="21"/>
          <w:szCs w:val="21"/>
        </w:rPr>
        <w:t>.</w:t>
      </w:r>
      <w:r w:rsidR="005405B5">
        <w:rPr>
          <w:rFonts w:ascii="Arial" w:hAnsi="Arial" w:cs="Arial"/>
          <w:sz w:val="21"/>
          <w:szCs w:val="21"/>
        </w:rPr>
        <w:t>0</w:t>
      </w:r>
      <w:r w:rsidR="00C217D1">
        <w:rPr>
          <w:rFonts w:ascii="Arial" w:hAnsi="Arial" w:cs="Arial"/>
          <w:sz w:val="21"/>
          <w:szCs w:val="21"/>
        </w:rPr>
        <w:t>0</w:t>
      </w:r>
      <w:r w:rsidR="00F20CAE">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5405B5">
        <w:rPr>
          <w:rFonts w:ascii="Arial" w:hAnsi="Arial" w:cs="Arial"/>
          <w:sz w:val="21"/>
          <w:szCs w:val="21"/>
        </w:rPr>
        <w:t>78</w:t>
      </w:r>
      <w:r w:rsidR="00C217D1">
        <w:rPr>
          <w:rFonts w:ascii="Arial" w:hAnsi="Arial" w:cs="Arial"/>
          <w:sz w:val="21"/>
          <w:szCs w:val="21"/>
        </w:rPr>
        <w:t>,40</w:t>
      </w:r>
      <w:r w:rsidR="005405B5">
        <w:rPr>
          <w:rFonts w:ascii="Arial" w:hAnsi="Arial" w:cs="Arial"/>
          <w:sz w:val="21"/>
          <w:szCs w:val="21"/>
        </w:rPr>
        <w:t>2</w:t>
      </w:r>
      <w:r w:rsidR="00C217D1">
        <w:rPr>
          <w:rFonts w:ascii="Arial" w:hAnsi="Arial" w:cs="Arial"/>
          <w:sz w:val="21"/>
          <w:szCs w:val="21"/>
        </w:rPr>
        <w:t>,9</w:t>
      </w:r>
      <w:r w:rsidR="005405B5">
        <w:rPr>
          <w:rFonts w:ascii="Arial" w:hAnsi="Arial" w:cs="Arial"/>
          <w:sz w:val="21"/>
          <w:szCs w:val="21"/>
        </w:rPr>
        <w:t>01</w:t>
      </w:r>
      <w:r w:rsidR="00C217D1">
        <w:rPr>
          <w:rFonts w:ascii="Arial" w:hAnsi="Arial" w:cs="Arial"/>
          <w:sz w:val="21"/>
          <w:szCs w:val="21"/>
        </w:rPr>
        <w:t>.</w:t>
      </w:r>
      <w:r w:rsidR="005405B5">
        <w:rPr>
          <w:rFonts w:ascii="Arial" w:hAnsi="Arial" w:cs="Arial"/>
          <w:sz w:val="21"/>
          <w:szCs w:val="21"/>
        </w:rPr>
        <w:t>0</w:t>
      </w:r>
      <w:r w:rsidR="00C217D1">
        <w:rPr>
          <w:rFonts w:ascii="Arial" w:hAnsi="Arial" w:cs="Arial"/>
          <w:sz w:val="21"/>
          <w:szCs w:val="21"/>
        </w:rPr>
        <w:t>0</w:t>
      </w:r>
    </w:p>
    <w:p w:rsidR="00344D08" w:rsidRDefault="00344D08" w:rsidP="00344D08">
      <w:pPr>
        <w:pStyle w:val="Prrafodelista"/>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781264" w:rsidP="00275056">
            <w:pPr>
              <w:jc w:val="right"/>
              <w:rPr>
                <w:rFonts w:ascii="Arial" w:hAnsi="Arial" w:cs="Arial"/>
                <w:sz w:val="21"/>
                <w:szCs w:val="21"/>
              </w:rPr>
            </w:pPr>
            <w:r>
              <w:rPr>
                <w:rFonts w:ascii="Arial" w:hAnsi="Arial" w:cs="Arial"/>
                <w:sz w:val="21"/>
                <w:szCs w:val="21"/>
              </w:rPr>
              <w:t>14</w:t>
            </w:r>
            <w:r w:rsidR="00132EDF">
              <w:rPr>
                <w:rFonts w:ascii="Arial" w:hAnsi="Arial" w:cs="Arial"/>
                <w:sz w:val="21"/>
                <w:szCs w:val="21"/>
              </w:rPr>
              <w:t>1</w:t>
            </w:r>
            <w:r w:rsidR="00C217D1">
              <w:rPr>
                <w:rFonts w:ascii="Arial" w:hAnsi="Arial" w:cs="Arial"/>
                <w:sz w:val="21"/>
                <w:szCs w:val="21"/>
              </w:rPr>
              <w:t>,</w:t>
            </w:r>
            <w:r w:rsidR="00275056">
              <w:rPr>
                <w:rFonts w:ascii="Arial" w:hAnsi="Arial" w:cs="Arial"/>
                <w:sz w:val="21"/>
                <w:szCs w:val="21"/>
              </w:rPr>
              <w:t>072</w:t>
            </w:r>
            <w:r w:rsidR="00C217D1">
              <w:rPr>
                <w:rFonts w:ascii="Arial" w:hAnsi="Arial" w:cs="Arial"/>
                <w:sz w:val="21"/>
                <w:szCs w:val="21"/>
              </w:rPr>
              <w:t>.</w:t>
            </w:r>
            <w:r w:rsidR="00275056">
              <w:rPr>
                <w:rFonts w:ascii="Arial" w:hAnsi="Arial" w:cs="Arial"/>
                <w:sz w:val="21"/>
                <w:szCs w:val="21"/>
              </w:rPr>
              <w:t>44</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132EDF" w:rsidP="00275056">
            <w:pPr>
              <w:jc w:val="right"/>
              <w:rPr>
                <w:rFonts w:ascii="Arial" w:hAnsi="Arial" w:cs="Arial"/>
                <w:b/>
                <w:sz w:val="21"/>
                <w:szCs w:val="21"/>
              </w:rPr>
            </w:pPr>
            <w:r>
              <w:rPr>
                <w:rFonts w:ascii="Arial" w:hAnsi="Arial" w:cs="Arial"/>
                <w:b/>
                <w:sz w:val="21"/>
                <w:szCs w:val="21"/>
              </w:rPr>
              <w:t>141</w:t>
            </w:r>
            <w:r w:rsidR="00C217D1">
              <w:rPr>
                <w:rFonts w:ascii="Arial" w:hAnsi="Arial" w:cs="Arial"/>
                <w:b/>
                <w:sz w:val="21"/>
                <w:szCs w:val="21"/>
              </w:rPr>
              <w:t>,</w:t>
            </w:r>
            <w:r w:rsidR="00275056">
              <w:rPr>
                <w:rFonts w:ascii="Arial" w:hAnsi="Arial" w:cs="Arial"/>
                <w:b/>
                <w:sz w:val="21"/>
                <w:szCs w:val="21"/>
              </w:rPr>
              <w:t>072</w:t>
            </w:r>
            <w:r w:rsidR="00C217D1">
              <w:rPr>
                <w:rFonts w:ascii="Arial" w:hAnsi="Arial" w:cs="Arial"/>
                <w:b/>
                <w:sz w:val="21"/>
                <w:szCs w:val="21"/>
              </w:rPr>
              <w:t>.</w:t>
            </w:r>
            <w:r w:rsidR="00275056">
              <w:rPr>
                <w:rFonts w:ascii="Arial" w:hAnsi="Arial" w:cs="Arial"/>
                <w:b/>
                <w:sz w:val="21"/>
                <w:szCs w:val="21"/>
              </w:rPr>
              <w:t>44</w:t>
            </w:r>
          </w:p>
        </w:tc>
      </w:tr>
    </w:tbl>
    <w:p w:rsidR="003F224C" w:rsidRDefault="003F224C" w:rsidP="00344D08">
      <w:pPr>
        <w:rPr>
          <w:rFonts w:ascii="Arial" w:hAnsi="Arial" w:cs="Arial"/>
          <w:sz w:val="21"/>
          <w:szCs w:val="21"/>
        </w:rPr>
      </w:pPr>
      <w:r>
        <w:rPr>
          <w:rFonts w:ascii="Arial" w:hAnsi="Arial" w:cs="Arial"/>
          <w:sz w:val="21"/>
          <w:szCs w:val="21"/>
        </w:rPr>
        <w:t>El total de ingresos recaudados fue por $</w:t>
      </w:r>
      <w:r w:rsidR="005405B5">
        <w:rPr>
          <w:rFonts w:ascii="Arial" w:hAnsi="Arial" w:cs="Arial"/>
          <w:sz w:val="21"/>
          <w:szCs w:val="21"/>
        </w:rPr>
        <w:t>87</w:t>
      </w:r>
      <w:r w:rsidR="00C217D1">
        <w:rPr>
          <w:rFonts w:ascii="Arial" w:hAnsi="Arial" w:cs="Arial"/>
          <w:sz w:val="21"/>
          <w:szCs w:val="21"/>
        </w:rPr>
        <w:t>,4</w:t>
      </w:r>
      <w:r w:rsidR="005405B5">
        <w:rPr>
          <w:rFonts w:ascii="Arial" w:hAnsi="Arial" w:cs="Arial"/>
          <w:sz w:val="21"/>
          <w:szCs w:val="21"/>
        </w:rPr>
        <w:t>87</w:t>
      </w:r>
      <w:r w:rsidR="00C217D1">
        <w:rPr>
          <w:rFonts w:ascii="Arial" w:hAnsi="Arial" w:cs="Arial"/>
          <w:sz w:val="21"/>
          <w:szCs w:val="21"/>
        </w:rPr>
        <w:t>,</w:t>
      </w:r>
      <w:r w:rsidR="005405B5">
        <w:rPr>
          <w:rFonts w:ascii="Arial" w:hAnsi="Arial" w:cs="Arial"/>
          <w:sz w:val="21"/>
          <w:szCs w:val="21"/>
        </w:rPr>
        <w:t>520</w:t>
      </w:r>
      <w:r w:rsidR="00C217D1">
        <w:rPr>
          <w:rFonts w:ascii="Arial" w:hAnsi="Arial" w:cs="Arial"/>
          <w:sz w:val="21"/>
          <w:szCs w:val="21"/>
        </w:rPr>
        <w:t>.</w:t>
      </w:r>
      <w:r w:rsidR="005405B5">
        <w:rPr>
          <w:rFonts w:ascii="Arial" w:hAnsi="Arial" w:cs="Arial"/>
          <w:sz w:val="21"/>
          <w:szCs w:val="21"/>
        </w:rPr>
        <w:t>83</w:t>
      </w:r>
      <w:r w:rsidR="008A7D75">
        <w:rPr>
          <w:rFonts w:ascii="Arial" w:hAnsi="Arial" w:cs="Arial"/>
          <w:sz w:val="21"/>
          <w:szCs w:val="21"/>
        </w:rPr>
        <w:t>.</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Prrafodelista"/>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5405B5" w:rsidP="005405B5">
            <w:pPr>
              <w:jc w:val="right"/>
              <w:rPr>
                <w:rFonts w:ascii="Arial" w:hAnsi="Arial" w:cs="Arial"/>
                <w:sz w:val="21"/>
                <w:szCs w:val="21"/>
              </w:rPr>
            </w:pPr>
            <w:r>
              <w:rPr>
                <w:rFonts w:ascii="Arial" w:hAnsi="Arial" w:cs="Arial"/>
                <w:sz w:val="21"/>
                <w:szCs w:val="21"/>
              </w:rPr>
              <w:t>6</w:t>
            </w:r>
            <w:r w:rsidR="00C36898">
              <w:rPr>
                <w:rFonts w:ascii="Arial" w:hAnsi="Arial" w:cs="Arial"/>
                <w:sz w:val="21"/>
                <w:szCs w:val="21"/>
              </w:rPr>
              <w:t>2,</w:t>
            </w:r>
            <w:r>
              <w:rPr>
                <w:rFonts w:ascii="Arial" w:hAnsi="Arial" w:cs="Arial"/>
                <w:sz w:val="21"/>
                <w:szCs w:val="21"/>
              </w:rPr>
              <w:t>047</w:t>
            </w:r>
            <w:r w:rsidR="00C36898">
              <w:rPr>
                <w:rFonts w:ascii="Arial" w:hAnsi="Arial" w:cs="Arial"/>
                <w:sz w:val="21"/>
                <w:szCs w:val="21"/>
              </w:rPr>
              <w:t>,</w:t>
            </w:r>
            <w:r>
              <w:rPr>
                <w:rFonts w:ascii="Arial" w:hAnsi="Arial" w:cs="Arial"/>
                <w:sz w:val="21"/>
                <w:szCs w:val="21"/>
              </w:rPr>
              <w:t>165</w:t>
            </w:r>
            <w:r w:rsidR="00C36898">
              <w:rPr>
                <w:rFonts w:ascii="Arial" w:hAnsi="Arial" w:cs="Arial"/>
                <w:sz w:val="21"/>
                <w:szCs w:val="21"/>
              </w:rPr>
              <w:t>.</w:t>
            </w:r>
            <w:r>
              <w:rPr>
                <w:rFonts w:ascii="Arial" w:hAnsi="Arial" w:cs="Arial"/>
                <w:sz w:val="21"/>
                <w:szCs w:val="21"/>
              </w:rPr>
              <w:t>97</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C36898" w:rsidP="005405B5">
            <w:pPr>
              <w:jc w:val="right"/>
              <w:rPr>
                <w:rFonts w:ascii="Arial" w:hAnsi="Arial" w:cs="Arial"/>
                <w:sz w:val="21"/>
                <w:szCs w:val="21"/>
              </w:rPr>
            </w:pPr>
            <w:r>
              <w:rPr>
                <w:rFonts w:ascii="Arial" w:hAnsi="Arial" w:cs="Arial"/>
                <w:sz w:val="21"/>
                <w:szCs w:val="21"/>
              </w:rPr>
              <w:t>2,</w:t>
            </w:r>
            <w:r w:rsidR="005405B5">
              <w:rPr>
                <w:rFonts w:ascii="Arial" w:hAnsi="Arial" w:cs="Arial"/>
                <w:sz w:val="21"/>
                <w:szCs w:val="21"/>
              </w:rPr>
              <w:t>884</w:t>
            </w:r>
            <w:r>
              <w:rPr>
                <w:rFonts w:ascii="Arial" w:hAnsi="Arial" w:cs="Arial"/>
                <w:sz w:val="21"/>
                <w:szCs w:val="21"/>
              </w:rPr>
              <w:t>,</w:t>
            </w:r>
            <w:r w:rsidR="005405B5">
              <w:rPr>
                <w:rFonts w:ascii="Arial" w:hAnsi="Arial" w:cs="Arial"/>
                <w:sz w:val="21"/>
                <w:szCs w:val="21"/>
              </w:rPr>
              <w:t>913</w:t>
            </w:r>
            <w:r>
              <w:rPr>
                <w:rFonts w:ascii="Arial" w:hAnsi="Arial" w:cs="Arial"/>
                <w:sz w:val="21"/>
                <w:szCs w:val="21"/>
              </w:rPr>
              <w:t>.</w:t>
            </w:r>
            <w:r w:rsidR="005405B5">
              <w:rPr>
                <w:rFonts w:ascii="Arial" w:hAnsi="Arial" w:cs="Arial"/>
                <w:sz w:val="21"/>
                <w:szCs w:val="21"/>
              </w:rPr>
              <w:t>90</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5405B5" w:rsidP="005405B5">
            <w:pPr>
              <w:jc w:val="right"/>
              <w:rPr>
                <w:rFonts w:ascii="Arial" w:hAnsi="Arial" w:cs="Arial"/>
                <w:sz w:val="21"/>
                <w:szCs w:val="21"/>
              </w:rPr>
            </w:pPr>
            <w:r>
              <w:rPr>
                <w:rFonts w:ascii="Arial" w:hAnsi="Arial" w:cs="Arial"/>
                <w:sz w:val="21"/>
                <w:szCs w:val="21"/>
              </w:rPr>
              <w:t>10</w:t>
            </w:r>
            <w:r w:rsidR="00C36898">
              <w:rPr>
                <w:rFonts w:ascii="Arial" w:hAnsi="Arial" w:cs="Arial"/>
                <w:sz w:val="21"/>
                <w:szCs w:val="21"/>
              </w:rPr>
              <w:t>,</w:t>
            </w:r>
            <w:r>
              <w:rPr>
                <w:rFonts w:ascii="Arial" w:hAnsi="Arial" w:cs="Arial"/>
                <w:sz w:val="21"/>
                <w:szCs w:val="21"/>
              </w:rPr>
              <w:t>220</w:t>
            </w:r>
            <w:r w:rsidR="00C36898">
              <w:rPr>
                <w:rFonts w:ascii="Arial" w:hAnsi="Arial" w:cs="Arial"/>
                <w:sz w:val="21"/>
                <w:szCs w:val="21"/>
              </w:rPr>
              <w:t>,</w:t>
            </w:r>
            <w:r>
              <w:rPr>
                <w:rFonts w:ascii="Arial" w:hAnsi="Arial" w:cs="Arial"/>
                <w:sz w:val="21"/>
                <w:szCs w:val="21"/>
              </w:rPr>
              <w:t>162</w:t>
            </w:r>
            <w:r w:rsidR="00C36898">
              <w:rPr>
                <w:rFonts w:ascii="Arial" w:hAnsi="Arial" w:cs="Arial"/>
                <w:sz w:val="21"/>
                <w:szCs w:val="21"/>
              </w:rPr>
              <w:t>.</w:t>
            </w:r>
            <w:r>
              <w:rPr>
                <w:rFonts w:ascii="Arial" w:hAnsi="Arial" w:cs="Arial"/>
                <w:sz w:val="21"/>
                <w:szCs w:val="21"/>
              </w:rPr>
              <w:t>21</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917F7D" w:rsidRPr="00D41A17" w:rsidRDefault="005405B5" w:rsidP="005405B5">
            <w:pPr>
              <w:jc w:val="right"/>
              <w:rPr>
                <w:rFonts w:ascii="Arial" w:hAnsi="Arial" w:cs="Arial"/>
                <w:b/>
                <w:sz w:val="21"/>
                <w:szCs w:val="21"/>
              </w:rPr>
            </w:pPr>
            <w:r>
              <w:rPr>
                <w:rFonts w:ascii="Arial" w:hAnsi="Arial" w:cs="Arial"/>
                <w:b/>
                <w:sz w:val="21"/>
                <w:szCs w:val="21"/>
              </w:rPr>
              <w:t>75</w:t>
            </w:r>
            <w:r w:rsidR="00C36898">
              <w:rPr>
                <w:rFonts w:ascii="Arial" w:hAnsi="Arial" w:cs="Arial"/>
                <w:b/>
                <w:sz w:val="21"/>
                <w:szCs w:val="21"/>
              </w:rPr>
              <w:t>,</w:t>
            </w:r>
            <w:r>
              <w:rPr>
                <w:rFonts w:ascii="Arial" w:hAnsi="Arial" w:cs="Arial"/>
                <w:b/>
                <w:sz w:val="21"/>
                <w:szCs w:val="21"/>
              </w:rPr>
              <w:t>152</w:t>
            </w:r>
            <w:r w:rsidR="00C36898">
              <w:rPr>
                <w:rFonts w:ascii="Arial" w:hAnsi="Arial" w:cs="Arial"/>
                <w:b/>
                <w:sz w:val="21"/>
                <w:szCs w:val="21"/>
              </w:rPr>
              <w:t>,2</w:t>
            </w:r>
            <w:r>
              <w:rPr>
                <w:rFonts w:ascii="Arial" w:hAnsi="Arial" w:cs="Arial"/>
                <w:b/>
                <w:sz w:val="21"/>
                <w:szCs w:val="21"/>
              </w:rPr>
              <w:t>42</w:t>
            </w:r>
            <w:r w:rsidR="00C36898">
              <w:rPr>
                <w:rFonts w:ascii="Arial" w:hAnsi="Arial" w:cs="Arial"/>
                <w:b/>
                <w:sz w:val="21"/>
                <w:szCs w:val="21"/>
              </w:rPr>
              <w:t>.</w:t>
            </w:r>
            <w:r>
              <w:rPr>
                <w:rFonts w:ascii="Arial" w:hAnsi="Arial" w:cs="Arial"/>
                <w:b/>
                <w:sz w:val="21"/>
                <w:szCs w:val="21"/>
              </w:rPr>
              <w:t>08</w:t>
            </w:r>
            <w:r w:rsidR="00211234">
              <w:rPr>
                <w:rFonts w:ascii="Arial" w:hAnsi="Arial" w:cs="Arial"/>
                <w:b/>
                <w:sz w:val="21"/>
                <w:szCs w:val="21"/>
              </w:rPr>
              <w:fldChar w:fldCharType="begin"/>
            </w:r>
            <w:r w:rsidR="00211234">
              <w:rPr>
                <w:rFonts w:ascii="Arial" w:hAnsi="Arial" w:cs="Arial"/>
                <w:b/>
                <w:sz w:val="21"/>
                <w:szCs w:val="21"/>
              </w:rPr>
              <w:instrText xml:space="preserve"> =SUM(ABOVE) </w:instrText>
            </w:r>
            <w:r w:rsidR="00211234">
              <w:rPr>
                <w:rFonts w:ascii="Arial" w:hAnsi="Arial" w:cs="Arial"/>
                <w:b/>
                <w:sz w:val="21"/>
                <w:szCs w:val="21"/>
              </w:rPr>
              <w:fldChar w:fldCharType="end"/>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bl>
    <w:p w:rsidR="005405B5" w:rsidRDefault="005405B5" w:rsidP="005405B5">
      <w:pPr>
        <w:pStyle w:val="Prrafodelista"/>
        <w:rPr>
          <w:rFonts w:ascii="Arial" w:hAnsi="Arial" w:cs="Arial"/>
          <w:sz w:val="21"/>
          <w:szCs w:val="21"/>
        </w:rPr>
      </w:pPr>
    </w:p>
    <w:p w:rsidR="005405B5" w:rsidRDefault="005405B5" w:rsidP="005405B5">
      <w:pPr>
        <w:pStyle w:val="Prrafodelista"/>
        <w:rPr>
          <w:rFonts w:ascii="Arial" w:hAnsi="Arial" w:cs="Arial"/>
          <w:sz w:val="21"/>
          <w:szCs w:val="21"/>
        </w:rPr>
      </w:pPr>
    </w:p>
    <w:p w:rsidR="003F224C" w:rsidRPr="003F224C" w:rsidRDefault="003F224C" w:rsidP="003F224C">
      <w:pPr>
        <w:pStyle w:val="Prrafodelista"/>
        <w:numPr>
          <w:ilvl w:val="0"/>
          <w:numId w:val="7"/>
        </w:numPr>
        <w:rPr>
          <w:rFonts w:ascii="Arial" w:hAnsi="Arial" w:cs="Arial"/>
          <w:sz w:val="21"/>
          <w:szCs w:val="21"/>
        </w:rPr>
      </w:pPr>
      <w:r>
        <w:rPr>
          <w:rFonts w:ascii="Arial" w:hAnsi="Arial" w:cs="Arial"/>
          <w:sz w:val="21"/>
          <w:szCs w:val="21"/>
        </w:rPr>
        <w:lastRenderedPageBreak/>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aconcuadrcula"/>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275056" w:rsidP="00275056">
            <w:pPr>
              <w:jc w:val="right"/>
              <w:rPr>
                <w:rFonts w:ascii="Arial" w:hAnsi="Arial" w:cs="Arial"/>
                <w:sz w:val="21"/>
                <w:szCs w:val="21"/>
              </w:rPr>
            </w:pPr>
            <w:r>
              <w:rPr>
                <w:rFonts w:ascii="Arial" w:hAnsi="Arial" w:cs="Arial"/>
                <w:sz w:val="21"/>
                <w:szCs w:val="21"/>
              </w:rPr>
              <w:t>4</w:t>
            </w:r>
            <w:r w:rsidR="00C36898">
              <w:rPr>
                <w:rFonts w:ascii="Arial" w:hAnsi="Arial" w:cs="Arial"/>
                <w:sz w:val="21"/>
                <w:szCs w:val="21"/>
              </w:rPr>
              <w:t>,7</w:t>
            </w:r>
            <w:r>
              <w:rPr>
                <w:rFonts w:ascii="Arial" w:hAnsi="Arial" w:cs="Arial"/>
                <w:sz w:val="21"/>
                <w:szCs w:val="21"/>
              </w:rPr>
              <w:t>77</w:t>
            </w:r>
            <w:r w:rsidR="00C36898">
              <w:rPr>
                <w:rFonts w:ascii="Arial" w:hAnsi="Arial" w:cs="Arial"/>
                <w:sz w:val="21"/>
                <w:szCs w:val="21"/>
              </w:rPr>
              <w:t>,</w:t>
            </w:r>
            <w:r>
              <w:rPr>
                <w:rFonts w:ascii="Arial" w:hAnsi="Arial" w:cs="Arial"/>
                <w:sz w:val="21"/>
                <w:szCs w:val="21"/>
              </w:rPr>
              <w:t>628</w:t>
            </w:r>
            <w:r w:rsidR="00C36898">
              <w:rPr>
                <w:rFonts w:ascii="Arial" w:hAnsi="Arial" w:cs="Arial"/>
                <w:sz w:val="21"/>
                <w:szCs w:val="21"/>
              </w:rPr>
              <w:t>.</w:t>
            </w:r>
            <w:r>
              <w:rPr>
                <w:rFonts w:ascii="Arial" w:hAnsi="Arial" w:cs="Arial"/>
                <w:sz w:val="21"/>
                <w:szCs w:val="21"/>
              </w:rPr>
              <w:t>46</w:t>
            </w:r>
          </w:p>
        </w:tc>
      </w:tr>
      <w:tr w:rsidR="00275056" w:rsidRPr="004D11EC" w:rsidTr="00BD3E07">
        <w:tc>
          <w:tcPr>
            <w:tcW w:w="3510" w:type="dxa"/>
            <w:vAlign w:val="center"/>
          </w:tcPr>
          <w:p w:rsidR="00275056" w:rsidRPr="00C64BD4" w:rsidRDefault="00275056" w:rsidP="00BD3E07">
            <w:pPr>
              <w:jc w:val="left"/>
              <w:rPr>
                <w:rFonts w:ascii="Arial" w:hAnsi="Arial" w:cs="Arial"/>
                <w:sz w:val="21"/>
                <w:szCs w:val="21"/>
              </w:rPr>
            </w:pPr>
            <w:r>
              <w:rPr>
                <w:rFonts w:ascii="Arial" w:hAnsi="Arial" w:cs="Arial"/>
                <w:sz w:val="21"/>
                <w:szCs w:val="21"/>
              </w:rPr>
              <w:t>Otros Gastos</w:t>
            </w:r>
          </w:p>
        </w:tc>
        <w:tc>
          <w:tcPr>
            <w:tcW w:w="3118" w:type="dxa"/>
            <w:vAlign w:val="center"/>
          </w:tcPr>
          <w:p w:rsidR="00275056" w:rsidRDefault="00275056" w:rsidP="00275056">
            <w:pPr>
              <w:jc w:val="right"/>
              <w:rPr>
                <w:rFonts w:ascii="Arial" w:hAnsi="Arial" w:cs="Arial"/>
                <w:sz w:val="21"/>
                <w:szCs w:val="21"/>
              </w:rPr>
            </w:pPr>
            <w:r>
              <w:rPr>
                <w:rFonts w:ascii="Arial" w:hAnsi="Arial" w:cs="Arial"/>
                <w:sz w:val="21"/>
                <w:szCs w:val="21"/>
              </w:rPr>
              <w:t>256,856.15</w:t>
            </w:r>
          </w:p>
        </w:tc>
      </w:tr>
      <w:tr w:rsidR="00275056" w:rsidRPr="004D11EC" w:rsidTr="00BD3E07">
        <w:tc>
          <w:tcPr>
            <w:tcW w:w="3510" w:type="dxa"/>
            <w:vAlign w:val="center"/>
          </w:tcPr>
          <w:p w:rsidR="00275056" w:rsidRPr="00275056" w:rsidRDefault="00275056" w:rsidP="00BD3E07">
            <w:pPr>
              <w:jc w:val="left"/>
              <w:rPr>
                <w:rFonts w:ascii="Arial" w:hAnsi="Arial" w:cs="Arial"/>
                <w:b/>
                <w:sz w:val="21"/>
                <w:szCs w:val="21"/>
              </w:rPr>
            </w:pPr>
            <w:r w:rsidRPr="00275056">
              <w:rPr>
                <w:rFonts w:ascii="Arial" w:hAnsi="Arial" w:cs="Arial"/>
                <w:b/>
                <w:sz w:val="21"/>
                <w:szCs w:val="21"/>
              </w:rPr>
              <w:t>Suma</w:t>
            </w:r>
          </w:p>
        </w:tc>
        <w:tc>
          <w:tcPr>
            <w:tcW w:w="3118" w:type="dxa"/>
            <w:vAlign w:val="center"/>
          </w:tcPr>
          <w:p w:rsidR="00275056" w:rsidRPr="00275056" w:rsidRDefault="00275056" w:rsidP="00275056">
            <w:pPr>
              <w:jc w:val="right"/>
              <w:rPr>
                <w:rFonts w:ascii="Arial" w:hAnsi="Arial" w:cs="Arial"/>
                <w:b/>
                <w:sz w:val="21"/>
                <w:szCs w:val="21"/>
              </w:rPr>
            </w:pPr>
            <w:r w:rsidRPr="00275056">
              <w:rPr>
                <w:rFonts w:ascii="Arial" w:hAnsi="Arial" w:cs="Arial"/>
                <w:b/>
                <w:sz w:val="21"/>
                <w:szCs w:val="21"/>
              </w:rPr>
              <w:t>5,034,484.61</w:t>
            </w: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275056">
        <w:rPr>
          <w:rFonts w:ascii="Arial" w:hAnsi="Arial" w:cs="Arial"/>
          <w:sz w:val="21"/>
          <w:szCs w:val="21"/>
        </w:rPr>
        <w:t>80</w:t>
      </w:r>
      <w:r w:rsidR="00C36898">
        <w:rPr>
          <w:rFonts w:ascii="Arial" w:hAnsi="Arial" w:cs="Arial"/>
          <w:sz w:val="21"/>
          <w:szCs w:val="21"/>
        </w:rPr>
        <w:t>,</w:t>
      </w:r>
      <w:r w:rsidR="005828E6">
        <w:rPr>
          <w:rFonts w:ascii="Arial" w:hAnsi="Arial" w:cs="Arial"/>
          <w:sz w:val="21"/>
          <w:szCs w:val="21"/>
        </w:rPr>
        <w:t>186</w:t>
      </w:r>
      <w:r w:rsidR="00C36898">
        <w:rPr>
          <w:rFonts w:ascii="Arial" w:hAnsi="Arial" w:cs="Arial"/>
          <w:sz w:val="21"/>
          <w:szCs w:val="21"/>
        </w:rPr>
        <w:t>,</w:t>
      </w:r>
      <w:r w:rsidR="009B0DC7">
        <w:rPr>
          <w:rFonts w:ascii="Arial" w:hAnsi="Arial" w:cs="Arial"/>
          <w:sz w:val="21"/>
          <w:szCs w:val="21"/>
        </w:rPr>
        <w:t>726</w:t>
      </w:r>
      <w:r w:rsidR="00C36898">
        <w:rPr>
          <w:rFonts w:ascii="Arial" w:hAnsi="Arial" w:cs="Arial"/>
          <w:sz w:val="21"/>
          <w:szCs w:val="21"/>
        </w:rPr>
        <w:t>.</w:t>
      </w:r>
      <w:r w:rsidR="009B0DC7">
        <w:rPr>
          <w:rFonts w:ascii="Arial" w:hAnsi="Arial" w:cs="Arial"/>
          <w:sz w:val="21"/>
          <w:szCs w:val="21"/>
        </w:rPr>
        <w:t>69</w:t>
      </w:r>
      <w:r w:rsidR="006D220A">
        <w:rPr>
          <w:rFonts w:ascii="Arial" w:hAnsi="Arial" w:cs="Arial"/>
          <w:sz w:val="21"/>
          <w:szCs w:val="21"/>
        </w:rPr>
        <w:t>.</w:t>
      </w:r>
    </w:p>
    <w:p w:rsidR="003F224C" w:rsidRDefault="000C0A8F" w:rsidP="000C0A8F">
      <w:pPr>
        <w:pStyle w:val="Prrafodelista"/>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E011BF">
        <w:rPr>
          <w:rFonts w:ascii="Arial" w:hAnsi="Arial" w:cs="Arial"/>
          <w:sz w:val="21"/>
          <w:szCs w:val="21"/>
        </w:rPr>
        <w:t xml:space="preserve"> </w:t>
      </w:r>
      <w:r w:rsidR="007C3B08">
        <w:rPr>
          <w:rFonts w:ascii="Arial" w:hAnsi="Arial" w:cs="Arial"/>
          <w:sz w:val="21"/>
          <w:szCs w:val="21"/>
        </w:rPr>
        <w:t>incremento</w:t>
      </w:r>
      <w:r w:rsidR="00B415A9">
        <w:rPr>
          <w:rFonts w:ascii="Arial" w:hAnsi="Arial" w:cs="Arial"/>
          <w:sz w:val="21"/>
          <w:szCs w:val="21"/>
        </w:rPr>
        <w:t xml:space="preserve"> en el efectivo </w:t>
      </w:r>
      <w:r w:rsidRPr="00BD5EAD">
        <w:rPr>
          <w:rFonts w:ascii="Arial" w:hAnsi="Arial" w:cs="Arial"/>
          <w:sz w:val="21"/>
          <w:szCs w:val="21"/>
        </w:rPr>
        <w:t xml:space="preserve">por </w:t>
      </w:r>
      <w:r w:rsidR="00126D81">
        <w:rPr>
          <w:rFonts w:ascii="Arial" w:hAnsi="Arial" w:cs="Arial"/>
          <w:sz w:val="21"/>
          <w:szCs w:val="21"/>
        </w:rPr>
        <w:t>$</w:t>
      </w:r>
      <w:r w:rsidR="00275056">
        <w:rPr>
          <w:rFonts w:ascii="Arial" w:hAnsi="Arial" w:cs="Arial"/>
          <w:sz w:val="21"/>
          <w:szCs w:val="21"/>
        </w:rPr>
        <w:t>2</w:t>
      </w:r>
      <w:r w:rsidR="00C36898">
        <w:rPr>
          <w:rFonts w:ascii="Arial" w:hAnsi="Arial" w:cs="Arial"/>
          <w:sz w:val="21"/>
          <w:szCs w:val="21"/>
        </w:rPr>
        <w:t>,</w:t>
      </w:r>
      <w:r w:rsidR="00275056">
        <w:rPr>
          <w:rFonts w:ascii="Arial" w:hAnsi="Arial" w:cs="Arial"/>
          <w:sz w:val="21"/>
          <w:szCs w:val="21"/>
        </w:rPr>
        <w:t>383</w:t>
      </w:r>
      <w:r w:rsidR="00C36898">
        <w:rPr>
          <w:rFonts w:ascii="Arial" w:hAnsi="Arial" w:cs="Arial"/>
          <w:sz w:val="21"/>
          <w:szCs w:val="21"/>
        </w:rPr>
        <w:t>,</w:t>
      </w:r>
      <w:r w:rsidR="00275056">
        <w:rPr>
          <w:rFonts w:ascii="Arial" w:hAnsi="Arial" w:cs="Arial"/>
          <w:sz w:val="21"/>
          <w:szCs w:val="21"/>
        </w:rPr>
        <w:t>509</w:t>
      </w:r>
      <w:r w:rsidR="00C36898">
        <w:rPr>
          <w:rFonts w:ascii="Arial" w:hAnsi="Arial" w:cs="Arial"/>
          <w:sz w:val="21"/>
          <w:szCs w:val="21"/>
        </w:rPr>
        <w:t>.</w:t>
      </w:r>
      <w:r w:rsidR="00275056">
        <w:rPr>
          <w:rFonts w:ascii="Arial" w:hAnsi="Arial" w:cs="Arial"/>
          <w:sz w:val="21"/>
          <w:szCs w:val="21"/>
        </w:rPr>
        <w:t>94</w:t>
      </w:r>
      <w:r w:rsidR="00256796">
        <w:rPr>
          <w:rFonts w:ascii="Arial" w:hAnsi="Arial" w:cs="Arial"/>
          <w:sz w:val="21"/>
          <w:szCs w:val="21"/>
        </w:rPr>
        <w:t xml:space="preserve"> </w:t>
      </w:r>
      <w:r w:rsidRPr="004B312C">
        <w:rPr>
          <w:rFonts w:ascii="Arial" w:hAnsi="Arial" w:cs="Arial"/>
          <w:sz w:val="21"/>
          <w:szCs w:val="21"/>
        </w:rPr>
        <w:t>integrad</w:t>
      </w:r>
      <w:r w:rsidR="00D146CF" w:rsidRPr="004B312C">
        <w:rPr>
          <w:rFonts w:ascii="Arial" w:hAnsi="Arial" w:cs="Arial"/>
          <w:sz w:val="21"/>
          <w:szCs w:val="21"/>
        </w:rPr>
        <w:t>o</w:t>
      </w:r>
      <w:r w:rsidRPr="004B312C">
        <w:rPr>
          <w:rFonts w:ascii="Arial" w:hAnsi="Arial" w:cs="Arial"/>
          <w:sz w:val="21"/>
          <w:szCs w:val="21"/>
        </w:rPr>
        <w:t xml:space="preserve"> principalmente</w:t>
      </w:r>
      <w:r w:rsidRPr="00BD5EAD">
        <w:rPr>
          <w:rFonts w:ascii="Arial" w:hAnsi="Arial" w:cs="Arial"/>
          <w:sz w:val="21"/>
          <w:szCs w:val="21"/>
        </w:rPr>
        <w:t xml:space="preserve"> por </w:t>
      </w:r>
      <w:r w:rsidR="00C36898">
        <w:rPr>
          <w:rFonts w:ascii="Arial" w:hAnsi="Arial" w:cs="Arial"/>
          <w:sz w:val="21"/>
          <w:szCs w:val="21"/>
        </w:rPr>
        <w:t>las aplicaciones en el rubro de</w:t>
      </w:r>
      <w:r w:rsidR="009520FB">
        <w:rPr>
          <w:rFonts w:ascii="Arial" w:hAnsi="Arial" w:cs="Arial"/>
          <w:sz w:val="21"/>
          <w:szCs w:val="21"/>
        </w:rPr>
        <w:t xml:space="preserve"> </w:t>
      </w:r>
      <w:r w:rsidR="00E011BF">
        <w:rPr>
          <w:rFonts w:ascii="Arial" w:hAnsi="Arial" w:cs="Arial"/>
          <w:sz w:val="21"/>
          <w:szCs w:val="21"/>
        </w:rPr>
        <w:t>Cuentas por cobrar a corto plazo</w:t>
      </w:r>
      <w:r w:rsidR="00311065">
        <w:rPr>
          <w:rFonts w:ascii="Arial" w:hAnsi="Arial" w:cs="Arial"/>
          <w:sz w:val="21"/>
          <w:szCs w:val="21"/>
        </w:rPr>
        <w:t>.</w:t>
      </w:r>
    </w:p>
    <w:p w:rsidR="008E4A8C" w:rsidRDefault="008E4A8C"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C23E2" w:rsidRDefault="003C23E2"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311065" w:rsidRDefault="00311065" w:rsidP="00510D76">
      <w:pPr>
        <w:jc w:val="center"/>
        <w:rPr>
          <w:rFonts w:ascii="Arial" w:hAnsi="Arial" w:cs="Arial"/>
          <w:b/>
          <w:sz w:val="21"/>
          <w:szCs w:val="21"/>
        </w:rPr>
      </w:pPr>
    </w:p>
    <w:p w:rsidR="00805AD5" w:rsidRDefault="00805AD5" w:rsidP="00510D76">
      <w:pPr>
        <w:jc w:val="center"/>
        <w:rPr>
          <w:rFonts w:ascii="Arial" w:hAnsi="Arial" w:cs="Arial"/>
          <w:b/>
          <w:sz w:val="21"/>
          <w:szCs w:val="21"/>
        </w:rPr>
      </w:pPr>
    </w:p>
    <w:p w:rsidR="00805AD5" w:rsidRDefault="00805AD5" w:rsidP="00510D76">
      <w:pPr>
        <w:jc w:val="center"/>
        <w:rPr>
          <w:rFonts w:ascii="Arial" w:hAnsi="Arial" w:cs="Arial"/>
          <w:b/>
          <w:sz w:val="21"/>
          <w:szCs w:val="21"/>
        </w:rPr>
      </w:pPr>
    </w:p>
    <w:p w:rsidR="009B0DC7" w:rsidRDefault="009B0DC7" w:rsidP="00510D76">
      <w:pPr>
        <w:jc w:val="center"/>
        <w:rPr>
          <w:rFonts w:ascii="Arial" w:hAnsi="Arial" w:cs="Arial"/>
          <w:b/>
          <w:sz w:val="21"/>
          <w:szCs w:val="21"/>
        </w:rPr>
      </w:pPr>
    </w:p>
    <w:p w:rsidR="009B0DC7" w:rsidRDefault="009B0DC7" w:rsidP="00510D76">
      <w:pPr>
        <w:jc w:val="center"/>
        <w:rPr>
          <w:rFonts w:ascii="Arial" w:hAnsi="Arial" w:cs="Arial"/>
          <w:b/>
          <w:sz w:val="21"/>
          <w:szCs w:val="21"/>
        </w:rPr>
      </w:pPr>
    </w:p>
    <w:p w:rsidR="009B0DC7" w:rsidRDefault="009B0DC7" w:rsidP="00510D76">
      <w:pPr>
        <w:jc w:val="center"/>
        <w:rPr>
          <w:rFonts w:ascii="Arial" w:hAnsi="Arial" w:cs="Arial"/>
          <w:b/>
          <w:sz w:val="21"/>
          <w:szCs w:val="21"/>
        </w:rPr>
      </w:pPr>
    </w:p>
    <w:p w:rsidR="009B0DC7" w:rsidRDefault="009B0DC7" w:rsidP="00510D76">
      <w:pPr>
        <w:jc w:val="center"/>
        <w:rPr>
          <w:rFonts w:ascii="Arial" w:hAnsi="Arial" w:cs="Arial"/>
          <w:b/>
          <w:sz w:val="21"/>
          <w:szCs w:val="21"/>
        </w:rPr>
      </w:pPr>
    </w:p>
    <w:p w:rsidR="009B0DC7" w:rsidRDefault="009B0DC7" w:rsidP="00510D76">
      <w:pPr>
        <w:jc w:val="center"/>
        <w:rPr>
          <w:rFonts w:ascii="Arial" w:hAnsi="Arial" w:cs="Arial"/>
          <w:b/>
          <w:sz w:val="21"/>
          <w:szCs w:val="21"/>
        </w:rPr>
      </w:pPr>
    </w:p>
    <w:p w:rsidR="00805AD5" w:rsidRDefault="00805AD5" w:rsidP="00510D76">
      <w:pPr>
        <w:jc w:val="center"/>
        <w:rPr>
          <w:rFonts w:ascii="Arial" w:hAnsi="Arial" w:cs="Arial"/>
          <w:b/>
          <w:sz w:val="21"/>
          <w:szCs w:val="21"/>
        </w:rPr>
      </w:pPr>
    </w:p>
    <w:p w:rsidR="00E12C87" w:rsidRDefault="00E12C87" w:rsidP="00510D76">
      <w:pPr>
        <w:jc w:val="center"/>
        <w:rPr>
          <w:rFonts w:ascii="Arial" w:hAnsi="Arial" w:cs="Arial"/>
          <w:b/>
          <w:sz w:val="21"/>
          <w:szCs w:val="21"/>
        </w:rPr>
      </w:pPr>
    </w:p>
    <w:p w:rsidR="000529D5" w:rsidRPr="000529D5" w:rsidRDefault="000529D5" w:rsidP="00510D76">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582718">
        <w:rPr>
          <w:rFonts w:ascii="Arial" w:hAnsi="Arial" w:cs="Arial"/>
          <w:sz w:val="21"/>
          <w:szCs w:val="21"/>
        </w:rPr>
        <w:t>874</w:t>
      </w:r>
      <w:r w:rsidR="00B5776D">
        <w:rPr>
          <w:rFonts w:ascii="Arial" w:hAnsi="Arial" w:cs="Arial"/>
          <w:sz w:val="21"/>
          <w:szCs w:val="21"/>
        </w:rPr>
        <w:t>,</w:t>
      </w:r>
      <w:r w:rsidR="00582718">
        <w:rPr>
          <w:rFonts w:ascii="Arial" w:hAnsi="Arial" w:cs="Arial"/>
          <w:sz w:val="21"/>
          <w:szCs w:val="21"/>
        </w:rPr>
        <w:t>220</w:t>
      </w:r>
      <w:r w:rsidR="00B5776D">
        <w:rPr>
          <w:rFonts w:ascii="Arial" w:hAnsi="Arial" w:cs="Arial"/>
          <w:sz w:val="21"/>
          <w:szCs w:val="21"/>
        </w:rPr>
        <w:t>.5</w:t>
      </w:r>
      <w:r w:rsidR="00582718">
        <w:rPr>
          <w:rFonts w:ascii="Arial" w:hAnsi="Arial" w:cs="Arial"/>
          <w:sz w:val="21"/>
          <w:szCs w:val="21"/>
        </w:rPr>
        <w:t>2</w:t>
      </w:r>
      <w:r w:rsidR="00311065">
        <w:rPr>
          <w:rFonts w:ascii="Arial" w:hAnsi="Arial" w:cs="Arial"/>
          <w:sz w:val="21"/>
          <w:szCs w:val="21"/>
        </w:rPr>
        <w:t>,</w:t>
      </w:r>
      <w:r w:rsidR="00F47A54">
        <w:rPr>
          <w:rFonts w:ascii="Arial" w:hAnsi="Arial" w:cs="Arial"/>
          <w:sz w:val="21"/>
          <w:szCs w:val="21"/>
        </w:rPr>
        <w:t xml:space="preserve"> a</w:t>
      </w:r>
      <w:r>
        <w:rPr>
          <w:rFonts w:ascii="Arial" w:hAnsi="Arial" w:cs="Arial"/>
          <w:sz w:val="21"/>
          <w:szCs w:val="21"/>
        </w:rPr>
        <w:t xml:space="preserve">l </w:t>
      </w:r>
      <w:r w:rsidR="006E6CFB">
        <w:rPr>
          <w:rFonts w:ascii="Arial" w:hAnsi="Arial" w:cs="Arial"/>
          <w:sz w:val="21"/>
          <w:szCs w:val="21"/>
        </w:rPr>
        <w:t>3</w:t>
      </w:r>
      <w:r w:rsidR="00582718">
        <w:rPr>
          <w:rFonts w:ascii="Arial" w:hAnsi="Arial" w:cs="Arial"/>
          <w:sz w:val="21"/>
          <w:szCs w:val="21"/>
        </w:rPr>
        <w:t>1</w:t>
      </w:r>
      <w:r w:rsidR="00B415A9">
        <w:rPr>
          <w:rFonts w:ascii="Arial" w:hAnsi="Arial" w:cs="Arial"/>
          <w:sz w:val="21"/>
          <w:szCs w:val="21"/>
        </w:rPr>
        <w:t xml:space="preserve"> de </w:t>
      </w:r>
      <w:r w:rsidR="00582718">
        <w:rPr>
          <w:rFonts w:ascii="Arial" w:hAnsi="Arial" w:cs="Arial"/>
          <w:sz w:val="21"/>
          <w:szCs w:val="21"/>
        </w:rPr>
        <w:t>dic</w:t>
      </w:r>
      <w:r w:rsidR="00B5776D">
        <w:rPr>
          <w:rFonts w:ascii="Arial" w:hAnsi="Arial" w:cs="Arial"/>
          <w:sz w:val="21"/>
          <w:szCs w:val="21"/>
        </w:rPr>
        <w:t>iembre</w:t>
      </w:r>
      <w:r w:rsidR="00B415A9">
        <w:rPr>
          <w:rFonts w:ascii="Arial" w:hAnsi="Arial" w:cs="Arial"/>
          <w:sz w:val="21"/>
          <w:szCs w:val="21"/>
        </w:rPr>
        <w:t xml:space="preserve"> </w:t>
      </w:r>
      <w:r>
        <w:rPr>
          <w:rFonts w:ascii="Arial" w:hAnsi="Arial" w:cs="Arial"/>
          <w:sz w:val="21"/>
          <w:szCs w:val="21"/>
        </w:rPr>
        <w:t>de 201</w:t>
      </w:r>
      <w:r w:rsidR="00311065">
        <w:rPr>
          <w:rFonts w:ascii="Arial" w:hAnsi="Arial" w:cs="Arial"/>
          <w:sz w:val="21"/>
          <w:szCs w:val="21"/>
        </w:rPr>
        <w:t>7</w:t>
      </w:r>
      <w:r w:rsidR="00A13580">
        <w:rPr>
          <w:rFonts w:ascii="Arial" w:hAnsi="Arial" w:cs="Arial"/>
          <w:sz w:val="21"/>
          <w:szCs w:val="21"/>
        </w:rPr>
        <w:t>.</w:t>
      </w:r>
    </w:p>
    <w:p w:rsidR="005F3231" w:rsidRDefault="005F3231" w:rsidP="005F3231">
      <w:pPr>
        <w:pStyle w:val="Prrafodelista"/>
        <w:numPr>
          <w:ilvl w:val="0"/>
          <w:numId w:val="8"/>
        </w:numPr>
        <w:rPr>
          <w:rFonts w:ascii="Arial" w:hAnsi="Arial" w:cs="Arial"/>
          <w:sz w:val="21"/>
          <w:szCs w:val="21"/>
        </w:rPr>
      </w:pPr>
      <w:r>
        <w:rPr>
          <w:rFonts w:ascii="Arial" w:hAnsi="Arial" w:cs="Arial"/>
          <w:sz w:val="21"/>
          <w:szCs w:val="21"/>
        </w:rPr>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Prrafodelista"/>
        <w:numPr>
          <w:ilvl w:val="0"/>
          <w:numId w:val="9"/>
        </w:numPr>
        <w:rPr>
          <w:rFonts w:ascii="Arial" w:hAnsi="Arial" w:cs="Arial"/>
          <w:sz w:val="21"/>
          <w:szCs w:val="21"/>
        </w:rPr>
      </w:pPr>
      <w:r>
        <w:rPr>
          <w:rFonts w:ascii="Arial" w:hAnsi="Arial" w:cs="Arial"/>
          <w:sz w:val="21"/>
          <w:szCs w:val="21"/>
        </w:rPr>
        <w:t>Ingresos</w:t>
      </w:r>
    </w:p>
    <w:tbl>
      <w:tblPr>
        <w:tblStyle w:val="Tablaconcuadrcula"/>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CD200E" w:rsidRDefault="007C3B08" w:rsidP="007C3B08">
            <w:pPr>
              <w:jc w:val="right"/>
              <w:rPr>
                <w:rFonts w:ascii="Arial" w:hAnsi="Arial" w:cs="Arial"/>
                <w:sz w:val="21"/>
                <w:szCs w:val="21"/>
              </w:rPr>
            </w:pPr>
            <w:r>
              <w:rPr>
                <w:rFonts w:ascii="Arial" w:hAnsi="Arial" w:cs="Arial"/>
                <w:sz w:val="21"/>
                <w:szCs w:val="21"/>
              </w:rPr>
              <w:t>89,977,418.26</w:t>
            </w:r>
          </w:p>
        </w:tc>
      </w:tr>
      <w:tr w:rsidR="007B794F" w:rsidRPr="00CD200E"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CD200E" w:rsidRDefault="007C385D" w:rsidP="00087125">
            <w:pPr>
              <w:jc w:val="right"/>
              <w:rPr>
                <w:rFonts w:ascii="Arial" w:hAnsi="Arial" w:cs="Arial"/>
                <w:sz w:val="21"/>
                <w:szCs w:val="21"/>
              </w:rPr>
            </w:pPr>
            <w:r>
              <w:rPr>
                <w:rFonts w:ascii="Arial" w:hAnsi="Arial" w:cs="Arial"/>
                <w:sz w:val="21"/>
                <w:szCs w:val="21"/>
              </w:rPr>
              <w:t>1</w:t>
            </w:r>
            <w:r w:rsidR="00B5776D">
              <w:rPr>
                <w:rFonts w:ascii="Arial" w:hAnsi="Arial" w:cs="Arial"/>
                <w:sz w:val="21"/>
                <w:szCs w:val="21"/>
              </w:rPr>
              <w:t>,</w:t>
            </w:r>
            <w:r>
              <w:rPr>
                <w:rFonts w:ascii="Arial" w:hAnsi="Arial" w:cs="Arial"/>
                <w:sz w:val="21"/>
                <w:szCs w:val="21"/>
              </w:rPr>
              <w:t>059</w:t>
            </w:r>
            <w:r w:rsidR="00B5776D">
              <w:rPr>
                <w:rFonts w:ascii="Arial" w:hAnsi="Arial" w:cs="Arial"/>
                <w:sz w:val="21"/>
                <w:szCs w:val="21"/>
              </w:rPr>
              <w:t>,</w:t>
            </w:r>
            <w:r w:rsidR="00087125">
              <w:rPr>
                <w:rFonts w:ascii="Arial" w:hAnsi="Arial" w:cs="Arial"/>
                <w:sz w:val="21"/>
                <w:szCs w:val="21"/>
              </w:rPr>
              <w:t>124</w:t>
            </w:r>
            <w:r w:rsidR="00B5776D">
              <w:rPr>
                <w:rFonts w:ascii="Arial" w:hAnsi="Arial" w:cs="Arial"/>
                <w:sz w:val="21"/>
                <w:szCs w:val="21"/>
              </w:rPr>
              <w:t>.</w:t>
            </w:r>
            <w:r w:rsidR="00087125">
              <w:rPr>
                <w:rFonts w:ascii="Arial" w:hAnsi="Arial" w:cs="Arial"/>
                <w:sz w:val="21"/>
                <w:szCs w:val="21"/>
              </w:rPr>
              <w:t>87</w:t>
            </w:r>
            <w:r w:rsidR="00E011BF">
              <w:rPr>
                <w:rFonts w:ascii="Arial" w:hAnsi="Arial" w:cs="Arial"/>
                <w:sz w:val="21"/>
                <w:szCs w:val="21"/>
              </w:rPr>
              <w:t xml:space="preserve"> </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CD200E" w:rsidRDefault="00087125" w:rsidP="00087125">
            <w:pPr>
              <w:jc w:val="right"/>
              <w:rPr>
                <w:rFonts w:ascii="Arial" w:hAnsi="Arial" w:cs="Arial"/>
                <w:sz w:val="21"/>
                <w:szCs w:val="21"/>
              </w:rPr>
            </w:pPr>
            <w:r>
              <w:rPr>
                <w:rFonts w:ascii="Arial" w:hAnsi="Arial" w:cs="Arial"/>
                <w:sz w:val="21"/>
                <w:szCs w:val="21"/>
              </w:rPr>
              <w:t>84</w:t>
            </w:r>
            <w:r w:rsidR="00B5776D">
              <w:rPr>
                <w:rFonts w:ascii="Arial" w:hAnsi="Arial" w:cs="Arial"/>
                <w:sz w:val="21"/>
                <w:szCs w:val="21"/>
              </w:rPr>
              <w:t>,</w:t>
            </w:r>
            <w:r>
              <w:rPr>
                <w:rFonts w:ascii="Arial" w:hAnsi="Arial" w:cs="Arial"/>
                <w:sz w:val="21"/>
                <w:szCs w:val="21"/>
              </w:rPr>
              <w:t>589</w:t>
            </w:r>
            <w:r w:rsidR="00B5776D">
              <w:rPr>
                <w:rFonts w:ascii="Arial" w:hAnsi="Arial" w:cs="Arial"/>
                <w:sz w:val="21"/>
                <w:szCs w:val="21"/>
              </w:rPr>
              <w:t>,</w:t>
            </w:r>
            <w:r>
              <w:rPr>
                <w:rFonts w:ascii="Arial" w:hAnsi="Arial" w:cs="Arial"/>
                <w:sz w:val="21"/>
                <w:szCs w:val="21"/>
              </w:rPr>
              <w:t>947</w:t>
            </w:r>
            <w:r w:rsidR="00B5776D">
              <w:rPr>
                <w:rFonts w:ascii="Arial" w:hAnsi="Arial" w:cs="Arial"/>
                <w:sz w:val="21"/>
                <w:szCs w:val="21"/>
              </w:rPr>
              <w:t>.</w:t>
            </w:r>
            <w:r>
              <w:rPr>
                <w:rFonts w:ascii="Arial" w:hAnsi="Arial" w:cs="Arial"/>
                <w:sz w:val="21"/>
                <w:szCs w:val="21"/>
              </w:rPr>
              <w:t>39</w:t>
            </w:r>
          </w:p>
        </w:tc>
      </w:tr>
      <w:tr w:rsidR="00233983" w:rsidRPr="00CD200E"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CD200E" w:rsidRDefault="00087125" w:rsidP="00087125">
            <w:pPr>
              <w:jc w:val="right"/>
              <w:rPr>
                <w:rFonts w:ascii="Arial" w:hAnsi="Arial" w:cs="Arial"/>
                <w:sz w:val="21"/>
                <w:szCs w:val="21"/>
              </w:rPr>
            </w:pPr>
            <w:r>
              <w:rPr>
                <w:rFonts w:ascii="Arial" w:hAnsi="Arial" w:cs="Arial"/>
                <w:sz w:val="21"/>
                <w:szCs w:val="21"/>
              </w:rPr>
              <w:t>4,</w:t>
            </w:r>
            <w:r w:rsidR="00B5776D">
              <w:rPr>
                <w:rFonts w:ascii="Arial" w:hAnsi="Arial" w:cs="Arial"/>
                <w:sz w:val="21"/>
                <w:szCs w:val="21"/>
              </w:rPr>
              <w:t>358,</w:t>
            </w:r>
            <w:r>
              <w:rPr>
                <w:rFonts w:ascii="Arial" w:hAnsi="Arial" w:cs="Arial"/>
                <w:sz w:val="21"/>
                <w:szCs w:val="21"/>
              </w:rPr>
              <w:t>346</w:t>
            </w:r>
            <w:r w:rsidR="00B5776D">
              <w:rPr>
                <w:rFonts w:ascii="Arial" w:hAnsi="Arial" w:cs="Arial"/>
                <w:sz w:val="21"/>
                <w:szCs w:val="21"/>
              </w:rPr>
              <w:t>.</w:t>
            </w:r>
            <w:r>
              <w:rPr>
                <w:rFonts w:ascii="Arial" w:hAnsi="Arial" w:cs="Arial"/>
                <w:sz w:val="21"/>
                <w:szCs w:val="21"/>
              </w:rPr>
              <w:t>0</w:t>
            </w:r>
            <w:r w:rsidR="00B5776D">
              <w:rPr>
                <w:rFonts w:ascii="Arial" w:hAnsi="Arial" w:cs="Arial"/>
                <w:sz w:val="21"/>
                <w:szCs w:val="21"/>
              </w:rPr>
              <w:t>0</w:t>
            </w:r>
          </w:p>
        </w:tc>
      </w:tr>
    </w:tbl>
    <w:p w:rsidR="00657677" w:rsidRPr="00126D81" w:rsidRDefault="005F3231" w:rsidP="005F3231">
      <w:pPr>
        <w:pStyle w:val="Prrafodelista"/>
        <w:numPr>
          <w:ilvl w:val="0"/>
          <w:numId w:val="9"/>
        </w:numPr>
        <w:rPr>
          <w:rFonts w:ascii="Arial" w:hAnsi="Arial" w:cs="Arial"/>
          <w:sz w:val="21"/>
          <w:szCs w:val="21"/>
        </w:rPr>
      </w:pPr>
      <w:r w:rsidRPr="00126D81">
        <w:rPr>
          <w:rFonts w:ascii="Arial" w:hAnsi="Arial" w:cs="Arial"/>
          <w:sz w:val="21"/>
          <w:szCs w:val="21"/>
        </w:rPr>
        <w:t>Egresos</w:t>
      </w:r>
    </w:p>
    <w:tbl>
      <w:tblPr>
        <w:tblStyle w:val="Tablaconcuadrcula"/>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74208B" w:rsidP="00EB4874">
            <w:pPr>
              <w:jc w:val="right"/>
              <w:rPr>
                <w:rFonts w:ascii="Arial" w:hAnsi="Arial" w:cs="Arial"/>
                <w:sz w:val="21"/>
                <w:szCs w:val="21"/>
              </w:rPr>
            </w:pPr>
            <w:r>
              <w:rPr>
                <w:rFonts w:ascii="Arial" w:hAnsi="Arial" w:cs="Arial"/>
                <w:sz w:val="21"/>
                <w:szCs w:val="21"/>
              </w:rPr>
              <w:t>89,977,418.26</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8E4A8C" w:rsidP="00311065">
            <w:pPr>
              <w:jc w:val="right"/>
              <w:rPr>
                <w:rFonts w:ascii="Arial" w:hAnsi="Arial" w:cs="Arial"/>
                <w:sz w:val="21"/>
                <w:szCs w:val="21"/>
              </w:rPr>
            </w:pPr>
            <w:r>
              <w:rPr>
                <w:rFonts w:ascii="Arial" w:hAnsi="Arial" w:cs="Arial"/>
                <w:sz w:val="21"/>
                <w:szCs w:val="21"/>
              </w:rPr>
              <w:t>8</w:t>
            </w:r>
            <w:r w:rsidR="00311065">
              <w:rPr>
                <w:rFonts w:ascii="Arial" w:hAnsi="Arial" w:cs="Arial"/>
                <w:sz w:val="21"/>
                <w:szCs w:val="21"/>
              </w:rPr>
              <w:t>7,831,113.00</w:t>
            </w:r>
          </w:p>
        </w:tc>
      </w:tr>
      <w:tr w:rsidR="00D37C7F" w:rsidRPr="00126D81" w:rsidTr="00BF5C54">
        <w:tc>
          <w:tcPr>
            <w:tcW w:w="5070" w:type="dxa"/>
          </w:tcPr>
          <w:p w:rsidR="00D37C7F" w:rsidRPr="00126D81" w:rsidRDefault="00D37C7F" w:rsidP="00EB4874">
            <w:pPr>
              <w:rPr>
                <w:rFonts w:ascii="Arial" w:hAnsi="Arial" w:cs="Arial"/>
                <w:sz w:val="21"/>
                <w:szCs w:val="21"/>
              </w:rPr>
            </w:pPr>
            <w:r w:rsidRPr="00126D81">
              <w:rPr>
                <w:rFonts w:ascii="Arial" w:hAnsi="Arial" w:cs="Arial"/>
                <w:sz w:val="21"/>
                <w:szCs w:val="21"/>
              </w:rPr>
              <w:t xml:space="preserve">Presupuesto de Egresos Aprobado de </w:t>
            </w:r>
            <w:r w:rsidR="00EB4874">
              <w:rPr>
                <w:rFonts w:ascii="Arial" w:hAnsi="Arial" w:cs="Arial"/>
                <w:sz w:val="21"/>
                <w:szCs w:val="21"/>
              </w:rPr>
              <w:t>B. Muebles</w:t>
            </w:r>
          </w:p>
        </w:tc>
        <w:tc>
          <w:tcPr>
            <w:tcW w:w="3118" w:type="dxa"/>
            <w:vAlign w:val="center"/>
          </w:tcPr>
          <w:p w:rsidR="00D37C7F" w:rsidRDefault="00EB4874" w:rsidP="00311065">
            <w:pPr>
              <w:jc w:val="right"/>
              <w:rPr>
                <w:rFonts w:ascii="Arial" w:hAnsi="Arial" w:cs="Arial"/>
                <w:sz w:val="21"/>
                <w:szCs w:val="21"/>
              </w:rPr>
            </w:pPr>
            <w:r>
              <w:rPr>
                <w:rFonts w:ascii="Arial" w:hAnsi="Arial" w:cs="Arial"/>
                <w:sz w:val="21"/>
                <w:szCs w:val="21"/>
              </w:rPr>
              <w:t>106,641.00</w:t>
            </w:r>
          </w:p>
        </w:tc>
      </w:tr>
      <w:tr w:rsidR="0074208B" w:rsidRPr="00126D81" w:rsidTr="00BF5C54">
        <w:tc>
          <w:tcPr>
            <w:tcW w:w="5070" w:type="dxa"/>
          </w:tcPr>
          <w:p w:rsidR="0074208B" w:rsidRPr="00126D81" w:rsidRDefault="0074208B" w:rsidP="0074208B">
            <w:pPr>
              <w:rPr>
                <w:rFonts w:ascii="Arial" w:hAnsi="Arial" w:cs="Arial"/>
                <w:sz w:val="21"/>
                <w:szCs w:val="21"/>
              </w:rPr>
            </w:pPr>
            <w:r>
              <w:rPr>
                <w:rFonts w:ascii="Arial" w:hAnsi="Arial" w:cs="Arial"/>
                <w:sz w:val="21"/>
                <w:szCs w:val="21"/>
              </w:rPr>
              <w:t xml:space="preserve">Presupuesto de Egresos A. de </w:t>
            </w:r>
            <w:proofErr w:type="spellStart"/>
            <w:r>
              <w:rPr>
                <w:rFonts w:ascii="Arial" w:hAnsi="Arial" w:cs="Arial"/>
                <w:sz w:val="21"/>
                <w:szCs w:val="21"/>
              </w:rPr>
              <w:t>Int</w:t>
            </w:r>
            <w:proofErr w:type="spellEnd"/>
            <w:r>
              <w:rPr>
                <w:rFonts w:ascii="Arial" w:hAnsi="Arial" w:cs="Arial"/>
                <w:sz w:val="21"/>
                <w:szCs w:val="21"/>
              </w:rPr>
              <w:t>. de la Deuda</w:t>
            </w:r>
          </w:p>
        </w:tc>
        <w:tc>
          <w:tcPr>
            <w:tcW w:w="3118" w:type="dxa"/>
            <w:vAlign w:val="center"/>
          </w:tcPr>
          <w:p w:rsidR="0074208B" w:rsidRDefault="0074208B" w:rsidP="00B5776D">
            <w:pPr>
              <w:jc w:val="right"/>
              <w:rPr>
                <w:rFonts w:ascii="Arial" w:hAnsi="Arial" w:cs="Arial"/>
                <w:sz w:val="21"/>
                <w:szCs w:val="21"/>
              </w:rPr>
            </w:pPr>
            <w:r>
              <w:rPr>
                <w:rFonts w:ascii="Arial" w:hAnsi="Arial" w:cs="Arial"/>
                <w:sz w:val="21"/>
                <w:szCs w:val="21"/>
              </w:rPr>
              <w:t>2,03</w:t>
            </w:r>
            <w:r w:rsidR="00B5776D">
              <w:rPr>
                <w:rFonts w:ascii="Arial" w:hAnsi="Arial" w:cs="Arial"/>
                <w:sz w:val="21"/>
                <w:szCs w:val="21"/>
              </w:rPr>
              <w:t>9</w:t>
            </w:r>
            <w:r>
              <w:rPr>
                <w:rFonts w:ascii="Arial" w:hAnsi="Arial" w:cs="Arial"/>
                <w:sz w:val="21"/>
                <w:szCs w:val="21"/>
              </w:rPr>
              <w:t>,664.26</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3A14BC" w:rsidP="003A14BC">
            <w:pPr>
              <w:jc w:val="right"/>
              <w:rPr>
                <w:rFonts w:ascii="Arial" w:hAnsi="Arial" w:cs="Arial"/>
                <w:sz w:val="21"/>
                <w:szCs w:val="21"/>
              </w:rPr>
            </w:pPr>
            <w:r>
              <w:rPr>
                <w:rFonts w:ascii="Arial" w:hAnsi="Arial" w:cs="Arial"/>
                <w:sz w:val="21"/>
                <w:szCs w:val="21"/>
              </w:rPr>
              <w:t>12</w:t>
            </w:r>
            <w:r w:rsidR="00B5776D">
              <w:rPr>
                <w:rFonts w:ascii="Arial" w:hAnsi="Arial" w:cs="Arial"/>
                <w:sz w:val="21"/>
                <w:szCs w:val="21"/>
              </w:rPr>
              <w:t>,</w:t>
            </w:r>
            <w:r>
              <w:rPr>
                <w:rFonts w:ascii="Arial" w:hAnsi="Arial" w:cs="Arial"/>
                <w:sz w:val="21"/>
                <w:szCs w:val="21"/>
              </w:rPr>
              <w:t>852</w:t>
            </w:r>
            <w:r w:rsidR="00B5776D">
              <w:rPr>
                <w:rFonts w:ascii="Arial" w:hAnsi="Arial" w:cs="Arial"/>
                <w:sz w:val="21"/>
                <w:szCs w:val="21"/>
              </w:rPr>
              <w:t>,</w:t>
            </w:r>
            <w:r>
              <w:rPr>
                <w:rFonts w:ascii="Arial" w:hAnsi="Arial" w:cs="Arial"/>
                <w:sz w:val="21"/>
                <w:szCs w:val="21"/>
              </w:rPr>
              <w:t>344</w:t>
            </w:r>
            <w:r w:rsidR="00B5776D">
              <w:rPr>
                <w:rFonts w:ascii="Arial" w:hAnsi="Arial" w:cs="Arial"/>
                <w:sz w:val="21"/>
                <w:szCs w:val="21"/>
              </w:rPr>
              <w:t>.</w:t>
            </w:r>
            <w:r>
              <w:rPr>
                <w:rFonts w:ascii="Arial" w:hAnsi="Arial" w:cs="Arial"/>
                <w:sz w:val="21"/>
                <w:szCs w:val="21"/>
              </w:rPr>
              <w:t>82</w:t>
            </w:r>
          </w:p>
        </w:tc>
      </w:tr>
      <w:tr w:rsidR="00E011BF" w:rsidRPr="00126D81" w:rsidTr="00BF5C54">
        <w:tc>
          <w:tcPr>
            <w:tcW w:w="5070" w:type="dxa"/>
          </w:tcPr>
          <w:p w:rsidR="00E011BF" w:rsidRPr="00126D81" w:rsidRDefault="00E011BF" w:rsidP="00E011BF">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E011BF" w:rsidRPr="00126D81" w:rsidRDefault="00087125" w:rsidP="00087125">
            <w:pPr>
              <w:jc w:val="right"/>
              <w:rPr>
                <w:rFonts w:ascii="Arial" w:hAnsi="Arial" w:cs="Arial"/>
                <w:sz w:val="21"/>
                <w:szCs w:val="21"/>
              </w:rPr>
            </w:pPr>
            <w:r>
              <w:rPr>
                <w:rFonts w:ascii="Arial" w:hAnsi="Arial" w:cs="Arial"/>
                <w:sz w:val="21"/>
                <w:szCs w:val="21"/>
              </w:rPr>
              <w:t>12</w:t>
            </w:r>
            <w:r w:rsidR="00B5776D">
              <w:rPr>
                <w:rFonts w:ascii="Arial" w:hAnsi="Arial" w:cs="Arial"/>
                <w:sz w:val="21"/>
                <w:szCs w:val="21"/>
              </w:rPr>
              <w:t>,</w:t>
            </w:r>
            <w:r>
              <w:rPr>
                <w:rFonts w:ascii="Arial" w:hAnsi="Arial" w:cs="Arial"/>
                <w:sz w:val="21"/>
                <w:szCs w:val="21"/>
              </w:rPr>
              <w:t>678</w:t>
            </w:r>
            <w:r w:rsidR="00B5776D">
              <w:rPr>
                <w:rFonts w:ascii="Arial" w:hAnsi="Arial" w:cs="Arial"/>
                <w:sz w:val="21"/>
                <w:szCs w:val="21"/>
              </w:rPr>
              <w:t>,</w:t>
            </w:r>
            <w:r>
              <w:rPr>
                <w:rFonts w:ascii="Arial" w:hAnsi="Arial" w:cs="Arial"/>
                <w:sz w:val="21"/>
                <w:szCs w:val="21"/>
              </w:rPr>
              <w:t>870</w:t>
            </w:r>
            <w:r w:rsidR="00B5776D">
              <w:rPr>
                <w:rFonts w:ascii="Arial" w:hAnsi="Arial" w:cs="Arial"/>
                <w:sz w:val="21"/>
                <w:szCs w:val="21"/>
              </w:rPr>
              <w:t>.</w:t>
            </w:r>
            <w:r>
              <w:rPr>
                <w:rFonts w:ascii="Arial" w:hAnsi="Arial" w:cs="Arial"/>
                <w:sz w:val="21"/>
                <w:szCs w:val="21"/>
              </w:rPr>
              <w:t>92</w:t>
            </w:r>
          </w:p>
        </w:tc>
      </w:tr>
      <w:tr w:rsidR="00EB4874" w:rsidRPr="00126D81" w:rsidTr="00BF5C54">
        <w:tc>
          <w:tcPr>
            <w:tcW w:w="5070" w:type="dxa"/>
          </w:tcPr>
          <w:p w:rsidR="00EB4874" w:rsidRPr="00126D81" w:rsidRDefault="00EB4874" w:rsidP="0074208B">
            <w:pPr>
              <w:rPr>
                <w:rFonts w:ascii="Arial" w:hAnsi="Arial" w:cs="Arial"/>
                <w:sz w:val="21"/>
                <w:szCs w:val="21"/>
              </w:rPr>
            </w:pPr>
            <w:r w:rsidRPr="00126D81">
              <w:rPr>
                <w:rFonts w:ascii="Arial" w:hAnsi="Arial" w:cs="Arial"/>
                <w:sz w:val="21"/>
                <w:szCs w:val="21"/>
              </w:rPr>
              <w:t xml:space="preserve">P. Egresos por Ejercer de </w:t>
            </w:r>
            <w:proofErr w:type="spellStart"/>
            <w:r w:rsidR="0074208B">
              <w:rPr>
                <w:rFonts w:ascii="Arial" w:hAnsi="Arial" w:cs="Arial"/>
                <w:sz w:val="21"/>
                <w:szCs w:val="21"/>
              </w:rPr>
              <w:t>Int</w:t>
            </w:r>
            <w:proofErr w:type="spellEnd"/>
            <w:r w:rsidR="0074208B">
              <w:rPr>
                <w:rFonts w:ascii="Arial" w:hAnsi="Arial" w:cs="Arial"/>
                <w:sz w:val="21"/>
                <w:szCs w:val="21"/>
              </w:rPr>
              <w:t>. de la Deuda</w:t>
            </w:r>
          </w:p>
        </w:tc>
        <w:tc>
          <w:tcPr>
            <w:tcW w:w="3118" w:type="dxa"/>
            <w:vAlign w:val="center"/>
          </w:tcPr>
          <w:p w:rsidR="00EB4874" w:rsidRDefault="0074208B" w:rsidP="00805AD5">
            <w:pPr>
              <w:jc w:val="right"/>
              <w:rPr>
                <w:rFonts w:ascii="Arial" w:hAnsi="Arial" w:cs="Arial"/>
                <w:sz w:val="21"/>
                <w:szCs w:val="21"/>
              </w:rPr>
            </w:pPr>
            <w:r>
              <w:rPr>
                <w:rFonts w:ascii="Arial" w:hAnsi="Arial" w:cs="Arial"/>
                <w:sz w:val="21"/>
                <w:szCs w:val="21"/>
              </w:rPr>
              <w:t>66,832.90</w:t>
            </w:r>
          </w:p>
        </w:tc>
      </w:tr>
      <w:tr w:rsidR="003A14BC" w:rsidRPr="00126D81" w:rsidTr="00BF5C54">
        <w:tc>
          <w:tcPr>
            <w:tcW w:w="5070" w:type="dxa"/>
          </w:tcPr>
          <w:p w:rsidR="003A14BC" w:rsidRPr="00126D81" w:rsidRDefault="003A14BC" w:rsidP="0074208B">
            <w:pPr>
              <w:rPr>
                <w:rFonts w:ascii="Arial" w:hAnsi="Arial" w:cs="Arial"/>
                <w:sz w:val="21"/>
                <w:szCs w:val="21"/>
              </w:rPr>
            </w:pPr>
            <w:r>
              <w:rPr>
                <w:rFonts w:ascii="Arial" w:hAnsi="Arial" w:cs="Arial"/>
                <w:sz w:val="21"/>
                <w:szCs w:val="21"/>
              </w:rPr>
              <w:t>P. Egresos por Ejercer de Bienes Muebles</w:t>
            </w:r>
          </w:p>
        </w:tc>
        <w:tc>
          <w:tcPr>
            <w:tcW w:w="3118" w:type="dxa"/>
            <w:vAlign w:val="center"/>
          </w:tcPr>
          <w:p w:rsidR="003A14BC" w:rsidRDefault="003A14BC" w:rsidP="00805AD5">
            <w:pPr>
              <w:jc w:val="right"/>
              <w:rPr>
                <w:rFonts w:ascii="Arial" w:hAnsi="Arial" w:cs="Arial"/>
                <w:sz w:val="21"/>
                <w:szCs w:val="21"/>
              </w:rPr>
            </w:pPr>
            <w:r>
              <w:rPr>
                <w:rFonts w:ascii="Arial" w:hAnsi="Arial" w:cs="Arial"/>
                <w:sz w:val="21"/>
                <w:szCs w:val="21"/>
              </w:rPr>
              <w:t>106,641.00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EB4874" w:rsidRPr="00126D81" w:rsidRDefault="003A14BC" w:rsidP="003A14BC">
            <w:pPr>
              <w:jc w:val="right"/>
              <w:rPr>
                <w:rFonts w:ascii="Arial" w:hAnsi="Arial" w:cs="Arial"/>
                <w:sz w:val="21"/>
                <w:szCs w:val="21"/>
              </w:rPr>
            </w:pPr>
            <w:r>
              <w:rPr>
                <w:rFonts w:ascii="Arial" w:hAnsi="Arial" w:cs="Arial"/>
                <w:sz w:val="21"/>
                <w:szCs w:val="21"/>
              </w:rPr>
              <w:t>400</w:t>
            </w:r>
            <w:r w:rsidR="007A247D">
              <w:rPr>
                <w:rFonts w:ascii="Arial" w:hAnsi="Arial" w:cs="Arial"/>
                <w:sz w:val="21"/>
                <w:szCs w:val="21"/>
              </w:rPr>
              <w:t>,</w:t>
            </w:r>
            <w:r>
              <w:rPr>
                <w:rFonts w:ascii="Arial" w:hAnsi="Arial" w:cs="Arial"/>
                <w:sz w:val="21"/>
                <w:szCs w:val="21"/>
              </w:rPr>
              <w:t>732</w:t>
            </w:r>
            <w:r w:rsidR="007A247D">
              <w:rPr>
                <w:rFonts w:ascii="Arial" w:hAnsi="Arial" w:cs="Arial"/>
                <w:sz w:val="21"/>
                <w:szCs w:val="21"/>
              </w:rPr>
              <w:t>.</w:t>
            </w:r>
            <w:r>
              <w:rPr>
                <w:rFonts w:ascii="Arial" w:hAnsi="Arial" w:cs="Arial"/>
                <w:sz w:val="21"/>
                <w:szCs w:val="21"/>
              </w:rPr>
              <w:t>80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EB4874" w:rsidRPr="00126D81" w:rsidRDefault="003A14BC" w:rsidP="003A14BC">
            <w:pPr>
              <w:jc w:val="right"/>
              <w:rPr>
                <w:rFonts w:ascii="Arial" w:hAnsi="Arial" w:cs="Arial"/>
                <w:sz w:val="21"/>
                <w:szCs w:val="21"/>
              </w:rPr>
            </w:pPr>
            <w:r>
              <w:rPr>
                <w:rFonts w:ascii="Arial" w:hAnsi="Arial" w:cs="Arial"/>
                <w:sz w:val="21"/>
                <w:szCs w:val="21"/>
              </w:rPr>
              <w:t>400</w:t>
            </w:r>
            <w:r w:rsidR="007A247D">
              <w:rPr>
                <w:rFonts w:ascii="Arial" w:hAnsi="Arial" w:cs="Arial"/>
                <w:sz w:val="21"/>
                <w:szCs w:val="21"/>
              </w:rPr>
              <w:t>,</w:t>
            </w:r>
            <w:r>
              <w:rPr>
                <w:rFonts w:ascii="Arial" w:hAnsi="Arial" w:cs="Arial"/>
                <w:sz w:val="21"/>
                <w:szCs w:val="21"/>
              </w:rPr>
              <w:t>732</w:t>
            </w:r>
            <w:r w:rsidR="007A247D">
              <w:rPr>
                <w:rFonts w:ascii="Arial" w:hAnsi="Arial" w:cs="Arial"/>
                <w:sz w:val="21"/>
                <w:szCs w:val="21"/>
              </w:rPr>
              <w:t>.</w:t>
            </w:r>
            <w:r>
              <w:rPr>
                <w:rFonts w:ascii="Arial" w:hAnsi="Arial" w:cs="Arial"/>
                <w:sz w:val="21"/>
                <w:szCs w:val="21"/>
              </w:rPr>
              <w:t>80</w:t>
            </w:r>
          </w:p>
        </w:tc>
      </w:tr>
      <w:tr w:rsidR="00EB4874" w:rsidRPr="00126D81" w:rsidTr="00BD3E07">
        <w:tc>
          <w:tcPr>
            <w:tcW w:w="5070" w:type="dxa"/>
          </w:tcPr>
          <w:p w:rsidR="00EB4874" w:rsidRPr="00126D81" w:rsidRDefault="00EB4874" w:rsidP="00EB4874">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EB4874" w:rsidRPr="006E5AAA" w:rsidRDefault="003A14BC" w:rsidP="003A14BC">
            <w:pPr>
              <w:jc w:val="right"/>
              <w:rPr>
                <w:rFonts w:ascii="Arial" w:hAnsi="Arial" w:cs="Arial"/>
                <w:sz w:val="21"/>
                <w:szCs w:val="21"/>
              </w:rPr>
            </w:pPr>
            <w:r>
              <w:rPr>
                <w:rFonts w:ascii="Arial" w:hAnsi="Arial" w:cs="Arial"/>
                <w:sz w:val="21"/>
                <w:szCs w:val="21"/>
              </w:rPr>
              <w:t>77</w:t>
            </w:r>
            <w:r w:rsidR="00B5776D">
              <w:rPr>
                <w:rFonts w:ascii="Arial" w:hAnsi="Arial" w:cs="Arial"/>
                <w:sz w:val="21"/>
                <w:szCs w:val="21"/>
              </w:rPr>
              <w:t>,1</w:t>
            </w:r>
            <w:r>
              <w:rPr>
                <w:rFonts w:ascii="Arial" w:hAnsi="Arial" w:cs="Arial"/>
                <w:sz w:val="21"/>
                <w:szCs w:val="21"/>
              </w:rPr>
              <w:t>25</w:t>
            </w:r>
            <w:r w:rsidR="00B5776D">
              <w:rPr>
                <w:rFonts w:ascii="Arial" w:hAnsi="Arial" w:cs="Arial"/>
                <w:sz w:val="21"/>
                <w:szCs w:val="21"/>
              </w:rPr>
              <w:t>,</w:t>
            </w:r>
            <w:r>
              <w:rPr>
                <w:rFonts w:ascii="Arial" w:hAnsi="Arial" w:cs="Arial"/>
                <w:sz w:val="21"/>
                <w:szCs w:val="21"/>
              </w:rPr>
              <w:t>073</w:t>
            </w:r>
            <w:r w:rsidR="00B5776D">
              <w:rPr>
                <w:rFonts w:ascii="Arial" w:hAnsi="Arial" w:cs="Arial"/>
                <w:sz w:val="21"/>
                <w:szCs w:val="21"/>
              </w:rPr>
              <w:t>.</w:t>
            </w:r>
            <w:r>
              <w:rPr>
                <w:rFonts w:ascii="Arial" w:hAnsi="Arial" w:cs="Arial"/>
                <w:sz w:val="21"/>
                <w:szCs w:val="21"/>
              </w:rPr>
              <w:t>44</w:t>
            </w:r>
          </w:p>
        </w:tc>
      </w:tr>
      <w:tr w:rsidR="00EB4874" w:rsidRPr="00381DB7" w:rsidTr="00BD3E07">
        <w:tc>
          <w:tcPr>
            <w:tcW w:w="5070" w:type="dxa"/>
          </w:tcPr>
          <w:p w:rsidR="00EB4874" w:rsidRPr="00381DB7" w:rsidRDefault="00EB4874" w:rsidP="00EB4874">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EB4874" w:rsidRPr="006E5AAA" w:rsidRDefault="003A14BC" w:rsidP="003A14BC">
            <w:pPr>
              <w:jc w:val="right"/>
              <w:rPr>
                <w:rFonts w:ascii="Arial" w:hAnsi="Arial" w:cs="Arial"/>
                <w:sz w:val="21"/>
                <w:szCs w:val="21"/>
              </w:rPr>
            </w:pPr>
            <w:r>
              <w:rPr>
                <w:rFonts w:ascii="Arial" w:hAnsi="Arial" w:cs="Arial"/>
                <w:sz w:val="21"/>
                <w:szCs w:val="21"/>
              </w:rPr>
              <w:t>75</w:t>
            </w:r>
            <w:r w:rsidR="00B5776D">
              <w:rPr>
                <w:rFonts w:ascii="Arial" w:hAnsi="Arial" w:cs="Arial"/>
                <w:sz w:val="21"/>
                <w:szCs w:val="21"/>
              </w:rPr>
              <w:t>,</w:t>
            </w:r>
            <w:r>
              <w:rPr>
                <w:rFonts w:ascii="Arial" w:hAnsi="Arial" w:cs="Arial"/>
                <w:sz w:val="21"/>
                <w:szCs w:val="21"/>
              </w:rPr>
              <w:t>152</w:t>
            </w:r>
            <w:r w:rsidR="00B5776D">
              <w:rPr>
                <w:rFonts w:ascii="Arial" w:hAnsi="Arial" w:cs="Arial"/>
                <w:sz w:val="21"/>
                <w:szCs w:val="21"/>
              </w:rPr>
              <w:t>,2</w:t>
            </w:r>
            <w:r>
              <w:rPr>
                <w:rFonts w:ascii="Arial" w:hAnsi="Arial" w:cs="Arial"/>
                <w:sz w:val="21"/>
                <w:szCs w:val="21"/>
              </w:rPr>
              <w:t>42</w:t>
            </w:r>
            <w:r w:rsidR="00B5776D">
              <w:rPr>
                <w:rFonts w:ascii="Arial" w:hAnsi="Arial" w:cs="Arial"/>
                <w:sz w:val="21"/>
                <w:szCs w:val="21"/>
              </w:rPr>
              <w:t>.</w:t>
            </w:r>
            <w:r>
              <w:rPr>
                <w:rFonts w:ascii="Arial" w:hAnsi="Arial" w:cs="Arial"/>
                <w:sz w:val="21"/>
                <w:szCs w:val="21"/>
              </w:rPr>
              <w:t>08</w:t>
            </w:r>
          </w:p>
        </w:tc>
      </w:tr>
      <w:tr w:rsidR="007A247D" w:rsidRPr="00381DB7" w:rsidTr="00BD3E07">
        <w:tc>
          <w:tcPr>
            <w:tcW w:w="5070" w:type="dxa"/>
          </w:tcPr>
          <w:p w:rsidR="007A247D" w:rsidRPr="00381DB7" w:rsidRDefault="007A247D" w:rsidP="007A247D">
            <w:pPr>
              <w:rPr>
                <w:rFonts w:ascii="Arial" w:hAnsi="Arial" w:cs="Arial"/>
                <w:sz w:val="21"/>
                <w:szCs w:val="21"/>
              </w:rPr>
            </w:pPr>
            <w:r w:rsidRPr="00381DB7">
              <w:rPr>
                <w:rFonts w:ascii="Arial" w:hAnsi="Arial" w:cs="Arial"/>
                <w:sz w:val="21"/>
                <w:szCs w:val="21"/>
              </w:rPr>
              <w:t xml:space="preserve">Presupuesto de Egresos Pagado de </w:t>
            </w:r>
            <w:proofErr w:type="spellStart"/>
            <w:r>
              <w:rPr>
                <w:rFonts w:ascii="Arial" w:hAnsi="Arial" w:cs="Arial"/>
                <w:sz w:val="21"/>
                <w:szCs w:val="21"/>
              </w:rPr>
              <w:t>Int</w:t>
            </w:r>
            <w:proofErr w:type="spellEnd"/>
            <w:r>
              <w:rPr>
                <w:rFonts w:ascii="Arial" w:hAnsi="Arial" w:cs="Arial"/>
                <w:sz w:val="21"/>
                <w:szCs w:val="21"/>
              </w:rPr>
              <w:t>. de la Deuda</w:t>
            </w:r>
          </w:p>
        </w:tc>
        <w:tc>
          <w:tcPr>
            <w:tcW w:w="3118" w:type="dxa"/>
            <w:vAlign w:val="center"/>
          </w:tcPr>
          <w:p w:rsidR="007A247D" w:rsidRDefault="007A247D" w:rsidP="00805AD5">
            <w:pPr>
              <w:jc w:val="right"/>
              <w:rPr>
                <w:rFonts w:ascii="Arial" w:hAnsi="Arial" w:cs="Arial"/>
                <w:sz w:val="21"/>
                <w:szCs w:val="21"/>
              </w:rPr>
            </w:pPr>
            <w:r>
              <w:rPr>
                <w:rFonts w:ascii="Arial" w:hAnsi="Arial" w:cs="Arial"/>
                <w:sz w:val="21"/>
                <w:szCs w:val="21"/>
              </w:rPr>
              <w:t>1,972,831.36</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CE2772" w:rsidRDefault="00CE2772"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E46EE6">
        <w:rPr>
          <w:rFonts w:ascii="Arial" w:hAnsi="Arial" w:cs="Arial"/>
          <w:sz w:val="21"/>
          <w:szCs w:val="21"/>
        </w:rPr>
        <w:t>3</w:t>
      </w:r>
      <w:r w:rsidR="003B7435">
        <w:rPr>
          <w:rFonts w:ascii="Arial" w:hAnsi="Arial" w:cs="Arial"/>
          <w:sz w:val="21"/>
          <w:szCs w:val="21"/>
        </w:rPr>
        <w:t>1</w:t>
      </w:r>
      <w:r>
        <w:rPr>
          <w:rFonts w:ascii="Arial" w:hAnsi="Arial" w:cs="Arial"/>
          <w:sz w:val="21"/>
          <w:szCs w:val="21"/>
        </w:rPr>
        <w:t xml:space="preserve"> de </w:t>
      </w:r>
      <w:r w:rsidR="003B7435">
        <w:rPr>
          <w:rFonts w:ascii="Arial" w:hAnsi="Arial" w:cs="Arial"/>
          <w:sz w:val="21"/>
          <w:szCs w:val="21"/>
        </w:rPr>
        <w:t>dic</w:t>
      </w:r>
      <w:r w:rsidR="00B5776D">
        <w:rPr>
          <w:rFonts w:ascii="Arial" w:hAnsi="Arial" w:cs="Arial"/>
          <w:sz w:val="21"/>
          <w:szCs w:val="21"/>
        </w:rPr>
        <w:t>iembre de</w:t>
      </w:r>
      <w:r w:rsidR="00311065">
        <w:rPr>
          <w:rFonts w:ascii="Arial" w:hAnsi="Arial" w:cs="Arial"/>
          <w:sz w:val="21"/>
          <w:szCs w:val="21"/>
        </w:rPr>
        <w:t xml:space="preserve"> 2017</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lastRenderedPageBreak/>
        <w:t>Planear, promover y operar la organización y desarrollo del Sistema Estatal de Información, así como coordinar la organización y desarrollo de sistemas integrados 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256796" w:rsidRDefault="0042374C" w:rsidP="00CC1B4A">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E46EE6">
        <w:rPr>
          <w:rFonts w:ascii="Arial" w:hAnsi="Arial" w:cs="Arial"/>
          <w:sz w:val="21"/>
          <w:szCs w:val="21"/>
        </w:rPr>
        <w:t>3</w:t>
      </w:r>
      <w:r w:rsidR="003B7435">
        <w:rPr>
          <w:rFonts w:ascii="Arial" w:hAnsi="Arial" w:cs="Arial"/>
          <w:sz w:val="21"/>
          <w:szCs w:val="21"/>
        </w:rPr>
        <w:t>1</w:t>
      </w:r>
      <w:r w:rsidRPr="00A634E8">
        <w:rPr>
          <w:rFonts w:ascii="Arial" w:hAnsi="Arial" w:cs="Arial"/>
          <w:sz w:val="21"/>
          <w:szCs w:val="21"/>
        </w:rPr>
        <w:t xml:space="preserve"> de </w:t>
      </w:r>
      <w:r w:rsidR="003B7435">
        <w:rPr>
          <w:rFonts w:ascii="Arial" w:hAnsi="Arial" w:cs="Arial"/>
          <w:sz w:val="21"/>
          <w:szCs w:val="21"/>
        </w:rPr>
        <w:t>dic</w:t>
      </w:r>
      <w:r w:rsidR="006C68D3">
        <w:rPr>
          <w:rFonts w:ascii="Arial" w:hAnsi="Arial" w:cs="Arial"/>
          <w:sz w:val="21"/>
          <w:szCs w:val="21"/>
        </w:rPr>
        <w:t>iembre</w:t>
      </w:r>
      <w:r w:rsidR="0093378D">
        <w:rPr>
          <w:rFonts w:ascii="Arial" w:hAnsi="Arial" w:cs="Arial"/>
          <w:sz w:val="21"/>
          <w:szCs w:val="21"/>
        </w:rPr>
        <w:t xml:space="preserve"> de 201</w:t>
      </w:r>
      <w:r w:rsidR="00311065">
        <w:rPr>
          <w:rFonts w:ascii="Arial" w:hAnsi="Arial" w:cs="Arial"/>
          <w:sz w:val="21"/>
          <w:szCs w:val="21"/>
        </w:rPr>
        <w:t>7</w:t>
      </w:r>
      <w:r w:rsidRPr="0042374C">
        <w:rPr>
          <w:rFonts w:ascii="Arial" w:hAnsi="Arial" w:cs="Arial"/>
          <w:sz w:val="21"/>
          <w:szCs w:val="21"/>
        </w:rPr>
        <w:t xml:space="preserve"> se rigen bajo los P</w:t>
      </w:r>
      <w:r w:rsidR="006822FE">
        <w:rPr>
          <w:rFonts w:ascii="Arial" w:hAnsi="Arial" w:cs="Arial"/>
          <w:sz w:val="21"/>
          <w:szCs w:val="21"/>
        </w:rPr>
        <w:t>ostulados</w:t>
      </w:r>
      <w:r w:rsidRPr="0042374C">
        <w:rPr>
          <w:rFonts w:ascii="Arial" w:hAnsi="Arial" w:cs="Arial"/>
          <w:sz w:val="21"/>
          <w:szCs w:val="21"/>
        </w:rPr>
        <w:t xml:space="preserve"> de Contabilidad Gubernamental emitidos en el Manual Único de Contabilidad Gubernamental para las Dependencias y Entidades Públicas del Gobierno y Municipios del Estado de México para dicho ejercicio.</w:t>
      </w:r>
    </w:p>
    <w:p w:rsidR="005A43A7" w:rsidRDefault="005A43A7" w:rsidP="00CC1B4A">
      <w:pPr>
        <w:rPr>
          <w:rFonts w:ascii="Arial" w:hAnsi="Arial" w:cs="Arial"/>
          <w:sz w:val="21"/>
          <w:szCs w:val="21"/>
        </w:rPr>
      </w:pPr>
    </w:p>
    <w:p w:rsidR="006C68D3" w:rsidRDefault="006C68D3" w:rsidP="00CC1B4A">
      <w:pPr>
        <w:rPr>
          <w:rFonts w:ascii="Arial" w:hAnsi="Arial" w:cs="Arial"/>
          <w:sz w:val="21"/>
          <w:szCs w:val="21"/>
        </w:rPr>
      </w:pPr>
    </w:p>
    <w:p w:rsidR="006C68D3" w:rsidRDefault="006C68D3" w:rsidP="00CC1B4A">
      <w:pPr>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lastRenderedPageBreak/>
        <w:t>Reconocimiento de los Efectos de la Inflación en la Información Financiera.</w:t>
      </w: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w:t>
      </w:r>
      <w:r w:rsidR="006822FE">
        <w:rPr>
          <w:rFonts w:ascii="Arial" w:hAnsi="Arial" w:cs="Arial"/>
          <w:sz w:val="21"/>
          <w:szCs w:val="21"/>
        </w:rPr>
        <w:t>Postulados</w:t>
      </w:r>
      <w:r w:rsidRPr="0042374C">
        <w:rPr>
          <w:rFonts w:ascii="Arial" w:hAnsi="Arial" w:cs="Arial"/>
          <w:sz w:val="21"/>
          <w:szCs w:val="21"/>
        </w:rPr>
        <w:t xml:space="preserve">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Prrafodelista"/>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Prrafodelista"/>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F36A5A"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r w:rsidR="00F36A5A">
        <w:rPr>
          <w:rFonts w:ascii="Arial" w:hAnsi="Arial" w:cs="Arial"/>
          <w:sz w:val="21"/>
          <w:szCs w:val="21"/>
        </w:rPr>
        <w:t>.</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lastRenderedPageBreak/>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Prrafodelista"/>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CE2772" w:rsidRDefault="00CE2772" w:rsidP="0042374C">
      <w:pPr>
        <w:rPr>
          <w:rFonts w:ascii="Arial" w:hAnsi="Arial" w:cs="Arial"/>
          <w:sz w:val="21"/>
          <w:szCs w:val="21"/>
        </w:rPr>
      </w:pPr>
    </w:p>
    <w:p w:rsidR="005A43A7" w:rsidRDefault="005A43A7" w:rsidP="0042374C">
      <w:pPr>
        <w:rPr>
          <w:rFonts w:ascii="Arial" w:hAnsi="Arial" w:cs="Arial"/>
          <w:sz w:val="21"/>
          <w:szCs w:val="21"/>
        </w:rPr>
      </w:pPr>
    </w:p>
    <w:p w:rsidR="0042374C" w:rsidRPr="005E08E7" w:rsidRDefault="005E08E7" w:rsidP="0042374C">
      <w:pPr>
        <w:rPr>
          <w:rFonts w:ascii="Arial" w:hAnsi="Arial" w:cs="Arial"/>
          <w:sz w:val="21"/>
          <w:szCs w:val="21"/>
        </w:rPr>
      </w:pPr>
      <w:r w:rsidRPr="005E08E7">
        <w:rPr>
          <w:rFonts w:ascii="Arial" w:hAnsi="Arial" w:cs="Arial"/>
          <w:sz w:val="21"/>
          <w:szCs w:val="21"/>
        </w:rPr>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E46EE6">
        <w:rPr>
          <w:rFonts w:ascii="Arial" w:hAnsi="Arial" w:cs="Arial"/>
          <w:sz w:val="21"/>
          <w:szCs w:val="21"/>
        </w:rPr>
        <w:t>3</w:t>
      </w:r>
      <w:r w:rsidR="00950FC5">
        <w:rPr>
          <w:rFonts w:ascii="Arial" w:hAnsi="Arial" w:cs="Arial"/>
          <w:sz w:val="21"/>
          <w:szCs w:val="21"/>
        </w:rPr>
        <w:t>1</w:t>
      </w:r>
      <w:r w:rsidR="000F347D">
        <w:rPr>
          <w:rFonts w:ascii="Arial" w:hAnsi="Arial" w:cs="Arial"/>
          <w:sz w:val="21"/>
          <w:szCs w:val="21"/>
        </w:rPr>
        <w:t xml:space="preserve"> de </w:t>
      </w:r>
      <w:r w:rsidR="00950FC5">
        <w:rPr>
          <w:rFonts w:ascii="Arial" w:hAnsi="Arial" w:cs="Arial"/>
          <w:sz w:val="21"/>
          <w:szCs w:val="21"/>
        </w:rPr>
        <w:t>dic</w:t>
      </w:r>
      <w:r w:rsidR="006C68D3">
        <w:rPr>
          <w:rFonts w:ascii="Arial" w:hAnsi="Arial" w:cs="Arial"/>
          <w:sz w:val="21"/>
          <w:szCs w:val="21"/>
        </w:rPr>
        <w:t>iembre</w:t>
      </w:r>
      <w:r w:rsidR="000F347D">
        <w:rPr>
          <w:rFonts w:ascii="Arial" w:hAnsi="Arial" w:cs="Arial"/>
          <w:sz w:val="21"/>
          <w:szCs w:val="21"/>
        </w:rPr>
        <w:t xml:space="preserve"> de </w:t>
      </w:r>
      <w:r w:rsidRPr="005E08E7">
        <w:rPr>
          <w:rFonts w:ascii="Arial" w:hAnsi="Arial" w:cs="Arial"/>
          <w:sz w:val="21"/>
          <w:szCs w:val="21"/>
        </w:rPr>
        <w:t>201</w:t>
      </w:r>
      <w:r w:rsidR="006822FE">
        <w:rPr>
          <w:rFonts w:ascii="Arial" w:hAnsi="Arial" w:cs="Arial"/>
          <w:sz w:val="21"/>
          <w:szCs w:val="21"/>
        </w:rPr>
        <w:t>7</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bookmarkStart w:id="0" w:name="OLE_LINK1"/>
    </w:p>
    <w:tbl>
      <w:tblPr>
        <w:tblW w:w="0" w:type="auto"/>
        <w:jc w:val="center"/>
        <w:tblLook w:val="01E0" w:firstRow="1" w:lastRow="1" w:firstColumn="1" w:lastColumn="1" w:noHBand="0" w:noVBand="0"/>
      </w:tblPr>
      <w:tblGrid>
        <w:gridCol w:w="546"/>
        <w:gridCol w:w="548"/>
        <w:gridCol w:w="549"/>
        <w:gridCol w:w="549"/>
        <w:gridCol w:w="549"/>
        <w:gridCol w:w="548"/>
        <w:gridCol w:w="552"/>
        <w:gridCol w:w="550"/>
        <w:gridCol w:w="549"/>
        <w:gridCol w:w="550"/>
        <w:gridCol w:w="558"/>
        <w:gridCol w:w="558"/>
        <w:gridCol w:w="558"/>
        <w:gridCol w:w="558"/>
        <w:gridCol w:w="558"/>
        <w:gridCol w:w="558"/>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791211">
        <w:trPr>
          <w:jc w:val="center"/>
        </w:trPr>
        <w:tc>
          <w:tcPr>
            <w:tcW w:w="3934" w:type="dxa"/>
            <w:gridSpan w:val="7"/>
          </w:tcPr>
          <w:p w:rsidR="00E624AF" w:rsidRPr="009F7C42" w:rsidRDefault="009C56BA" w:rsidP="00876D75">
            <w:pPr>
              <w:jc w:val="center"/>
              <w:rPr>
                <w:rFonts w:ascii="Arial" w:hAnsi="Arial" w:cs="Arial"/>
                <w:sz w:val="21"/>
                <w:szCs w:val="21"/>
              </w:rPr>
            </w:pPr>
            <w:r>
              <w:rPr>
                <w:rFonts w:ascii="Arial" w:hAnsi="Arial" w:cs="Arial"/>
                <w:sz w:val="21"/>
                <w:szCs w:val="21"/>
              </w:rPr>
              <w:t>Subdirectora de Contabilidad y Finanzas</w:t>
            </w:r>
            <w:r w:rsidR="00E624AF" w:rsidRPr="009F7C42">
              <w:rPr>
                <w:rFonts w:ascii="Arial" w:hAnsi="Arial" w:cs="Arial"/>
                <w:sz w:val="21"/>
                <w:szCs w:val="21"/>
              </w:rPr>
              <w:t xml:space="preserve">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bookmarkEnd w:id="0"/>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950FC5" w:rsidP="00791211">
      <w:pPr>
        <w:jc w:val="center"/>
        <w:rPr>
          <w:rFonts w:ascii="Arial" w:hAnsi="Arial" w:cs="Arial"/>
          <w:sz w:val="32"/>
          <w:szCs w:val="32"/>
        </w:rPr>
      </w:pPr>
      <w:r>
        <w:rPr>
          <w:rFonts w:ascii="Arial" w:hAnsi="Arial" w:cs="Arial"/>
          <w:b/>
          <w:smallCaps/>
          <w:sz w:val="32"/>
          <w:szCs w:val="32"/>
        </w:rPr>
        <w:t>Dic</w:t>
      </w:r>
      <w:bookmarkStart w:id="1" w:name="_GoBack"/>
      <w:bookmarkEnd w:id="1"/>
      <w:r w:rsidR="006C68D3">
        <w:rPr>
          <w:rFonts w:ascii="Arial" w:hAnsi="Arial" w:cs="Arial"/>
          <w:b/>
          <w:smallCaps/>
          <w:sz w:val="32"/>
          <w:szCs w:val="32"/>
        </w:rPr>
        <w:t>iembre</w:t>
      </w:r>
      <w:r w:rsidR="00334853">
        <w:rPr>
          <w:rFonts w:ascii="Arial" w:hAnsi="Arial" w:cs="Arial"/>
          <w:b/>
          <w:smallCaps/>
          <w:sz w:val="32"/>
          <w:szCs w:val="32"/>
        </w:rPr>
        <w:t xml:space="preserve"> 2017</w:t>
      </w:r>
    </w:p>
    <w:sectPr w:rsidR="00791211" w:rsidRPr="00791211"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9D" w:rsidRDefault="00F3429D" w:rsidP="00B22A8E">
      <w:pPr>
        <w:spacing w:before="0" w:after="0" w:line="240" w:lineRule="auto"/>
      </w:pPr>
      <w:r>
        <w:separator/>
      </w:r>
    </w:p>
  </w:endnote>
  <w:endnote w:type="continuationSeparator" w:id="0">
    <w:p w:rsidR="00F3429D" w:rsidRDefault="00F3429D"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AA" w:rsidRDefault="006428AA">
    <w:pPr>
      <w:pStyle w:val="Piedepgina"/>
      <w:jc w:val="center"/>
    </w:pPr>
  </w:p>
  <w:p w:rsidR="006428AA" w:rsidRDefault="006428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9D" w:rsidRDefault="00F3429D" w:rsidP="00B22A8E">
      <w:pPr>
        <w:spacing w:before="0" w:after="0" w:line="240" w:lineRule="auto"/>
      </w:pPr>
      <w:r>
        <w:separator/>
      </w:r>
    </w:p>
  </w:footnote>
  <w:footnote w:type="continuationSeparator" w:id="0">
    <w:p w:rsidR="00F3429D" w:rsidRDefault="00F3429D" w:rsidP="00B22A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AA" w:rsidRDefault="006428AA" w:rsidP="00B22A8E">
    <w:pPr>
      <w:pStyle w:val="Encabezado"/>
      <w:jc w:val="center"/>
      <w:rPr>
        <w:b/>
        <w:sz w:val="18"/>
        <w:szCs w:val="18"/>
      </w:rPr>
    </w:pPr>
    <w:r>
      <w:rPr>
        <w:noProof/>
        <w:lang w:eastAsia="es-MX"/>
      </w:rPr>
      <w:drawing>
        <wp:anchor distT="0" distB="0" distL="114300" distR="114300" simplePos="0" relativeHeight="251661312" behindDoc="0" locked="0" layoutInCell="1" allowOverlap="1" wp14:anchorId="4DD38CF6" wp14:editId="47D3A809">
          <wp:simplePos x="0" y="0"/>
          <wp:positionH relativeFrom="column">
            <wp:posOffset>5657850</wp:posOffset>
          </wp:positionH>
          <wp:positionV relativeFrom="paragraph">
            <wp:posOffset>-267335</wp:posOffset>
          </wp:positionV>
          <wp:extent cx="386080" cy="518795"/>
          <wp:effectExtent l="0" t="0" r="0" b="0"/>
          <wp:wrapNone/>
          <wp:docPr id="8" name="Imagen 8" descr="IGE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C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8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0"/>
    <w:rsid w:val="00003E39"/>
    <w:rsid w:val="0001063A"/>
    <w:rsid w:val="000106A5"/>
    <w:rsid w:val="00015142"/>
    <w:rsid w:val="000156D9"/>
    <w:rsid w:val="00020C2E"/>
    <w:rsid w:val="00020EA1"/>
    <w:rsid w:val="000219CC"/>
    <w:rsid w:val="0002705F"/>
    <w:rsid w:val="00033453"/>
    <w:rsid w:val="00036C53"/>
    <w:rsid w:val="00041550"/>
    <w:rsid w:val="00041B9F"/>
    <w:rsid w:val="00044063"/>
    <w:rsid w:val="000452AD"/>
    <w:rsid w:val="00045851"/>
    <w:rsid w:val="00045FFA"/>
    <w:rsid w:val="00047063"/>
    <w:rsid w:val="000529D5"/>
    <w:rsid w:val="000609D3"/>
    <w:rsid w:val="000761FD"/>
    <w:rsid w:val="000764EF"/>
    <w:rsid w:val="0007744F"/>
    <w:rsid w:val="000821AA"/>
    <w:rsid w:val="00083187"/>
    <w:rsid w:val="000840FD"/>
    <w:rsid w:val="000864F6"/>
    <w:rsid w:val="00087125"/>
    <w:rsid w:val="00090C87"/>
    <w:rsid w:val="00096573"/>
    <w:rsid w:val="000A04BA"/>
    <w:rsid w:val="000B05C2"/>
    <w:rsid w:val="000B1B67"/>
    <w:rsid w:val="000B422A"/>
    <w:rsid w:val="000B5239"/>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07827"/>
    <w:rsid w:val="0011020E"/>
    <w:rsid w:val="0011028B"/>
    <w:rsid w:val="00112501"/>
    <w:rsid w:val="00124816"/>
    <w:rsid w:val="00126D81"/>
    <w:rsid w:val="001273AC"/>
    <w:rsid w:val="00132EDF"/>
    <w:rsid w:val="00136C0C"/>
    <w:rsid w:val="00142895"/>
    <w:rsid w:val="001428AF"/>
    <w:rsid w:val="00142F6C"/>
    <w:rsid w:val="00155368"/>
    <w:rsid w:val="00156024"/>
    <w:rsid w:val="00180998"/>
    <w:rsid w:val="0018153C"/>
    <w:rsid w:val="00192160"/>
    <w:rsid w:val="001A3389"/>
    <w:rsid w:val="001B49DD"/>
    <w:rsid w:val="001B730C"/>
    <w:rsid w:val="001C24C4"/>
    <w:rsid w:val="001C415F"/>
    <w:rsid w:val="001C5FA4"/>
    <w:rsid w:val="001D3DBF"/>
    <w:rsid w:val="001D457B"/>
    <w:rsid w:val="001D6A46"/>
    <w:rsid w:val="001E044F"/>
    <w:rsid w:val="001E3444"/>
    <w:rsid w:val="001F1060"/>
    <w:rsid w:val="001F12F3"/>
    <w:rsid w:val="001F4481"/>
    <w:rsid w:val="001F79A3"/>
    <w:rsid w:val="002002F4"/>
    <w:rsid w:val="0020269C"/>
    <w:rsid w:val="00202956"/>
    <w:rsid w:val="00205AB6"/>
    <w:rsid w:val="00205E83"/>
    <w:rsid w:val="00211234"/>
    <w:rsid w:val="00214EE7"/>
    <w:rsid w:val="00217156"/>
    <w:rsid w:val="00220517"/>
    <w:rsid w:val="00233983"/>
    <w:rsid w:val="00241EDA"/>
    <w:rsid w:val="002420FE"/>
    <w:rsid w:val="00247ED2"/>
    <w:rsid w:val="00252B03"/>
    <w:rsid w:val="00254033"/>
    <w:rsid w:val="00255AA1"/>
    <w:rsid w:val="00256796"/>
    <w:rsid w:val="00262590"/>
    <w:rsid w:val="00263E97"/>
    <w:rsid w:val="00270B31"/>
    <w:rsid w:val="00271555"/>
    <w:rsid w:val="00271B67"/>
    <w:rsid w:val="002732B8"/>
    <w:rsid w:val="00275056"/>
    <w:rsid w:val="0027799F"/>
    <w:rsid w:val="0028324B"/>
    <w:rsid w:val="00292F88"/>
    <w:rsid w:val="002A6F12"/>
    <w:rsid w:val="002B1184"/>
    <w:rsid w:val="002B562D"/>
    <w:rsid w:val="002B6EF3"/>
    <w:rsid w:val="002C0B61"/>
    <w:rsid w:val="002C4B20"/>
    <w:rsid w:val="002C5C1C"/>
    <w:rsid w:val="002D11FF"/>
    <w:rsid w:val="002D552E"/>
    <w:rsid w:val="002E3346"/>
    <w:rsid w:val="002E4BFD"/>
    <w:rsid w:val="002E577C"/>
    <w:rsid w:val="00300FDA"/>
    <w:rsid w:val="00301C3E"/>
    <w:rsid w:val="00306104"/>
    <w:rsid w:val="003103A1"/>
    <w:rsid w:val="0031060A"/>
    <w:rsid w:val="00310A64"/>
    <w:rsid w:val="00311065"/>
    <w:rsid w:val="003126E9"/>
    <w:rsid w:val="00314AAB"/>
    <w:rsid w:val="00316799"/>
    <w:rsid w:val="00316BB3"/>
    <w:rsid w:val="0031742C"/>
    <w:rsid w:val="003203B0"/>
    <w:rsid w:val="00331D57"/>
    <w:rsid w:val="00334853"/>
    <w:rsid w:val="00337EE7"/>
    <w:rsid w:val="003406BC"/>
    <w:rsid w:val="00344D08"/>
    <w:rsid w:val="0035062C"/>
    <w:rsid w:val="00352E5E"/>
    <w:rsid w:val="00353E7E"/>
    <w:rsid w:val="003565F0"/>
    <w:rsid w:val="00357195"/>
    <w:rsid w:val="00357787"/>
    <w:rsid w:val="00361CD4"/>
    <w:rsid w:val="00363791"/>
    <w:rsid w:val="00364491"/>
    <w:rsid w:val="00366A9D"/>
    <w:rsid w:val="00370A86"/>
    <w:rsid w:val="0037764D"/>
    <w:rsid w:val="003811E1"/>
    <w:rsid w:val="00381DB7"/>
    <w:rsid w:val="00383FFA"/>
    <w:rsid w:val="00387BDE"/>
    <w:rsid w:val="00390386"/>
    <w:rsid w:val="00393F3C"/>
    <w:rsid w:val="0039605F"/>
    <w:rsid w:val="003A14BC"/>
    <w:rsid w:val="003A3FFD"/>
    <w:rsid w:val="003A5CE0"/>
    <w:rsid w:val="003A6DD2"/>
    <w:rsid w:val="003A7995"/>
    <w:rsid w:val="003A7EBA"/>
    <w:rsid w:val="003B0367"/>
    <w:rsid w:val="003B1010"/>
    <w:rsid w:val="003B481C"/>
    <w:rsid w:val="003B4BF2"/>
    <w:rsid w:val="003B7435"/>
    <w:rsid w:val="003B74A8"/>
    <w:rsid w:val="003B75E9"/>
    <w:rsid w:val="003B76B2"/>
    <w:rsid w:val="003C23E2"/>
    <w:rsid w:val="003C3200"/>
    <w:rsid w:val="003C4766"/>
    <w:rsid w:val="003C6FC7"/>
    <w:rsid w:val="003D1E37"/>
    <w:rsid w:val="003D2633"/>
    <w:rsid w:val="003D5440"/>
    <w:rsid w:val="003E7D40"/>
    <w:rsid w:val="003F224C"/>
    <w:rsid w:val="003F2E8D"/>
    <w:rsid w:val="003F41F6"/>
    <w:rsid w:val="003F4462"/>
    <w:rsid w:val="003F75A6"/>
    <w:rsid w:val="00410E1A"/>
    <w:rsid w:val="00415014"/>
    <w:rsid w:val="00415256"/>
    <w:rsid w:val="00415958"/>
    <w:rsid w:val="00416027"/>
    <w:rsid w:val="00417E01"/>
    <w:rsid w:val="00420341"/>
    <w:rsid w:val="004210A1"/>
    <w:rsid w:val="004218FC"/>
    <w:rsid w:val="004225A0"/>
    <w:rsid w:val="00422BE1"/>
    <w:rsid w:val="0042374C"/>
    <w:rsid w:val="00424FA5"/>
    <w:rsid w:val="00432201"/>
    <w:rsid w:val="0044036A"/>
    <w:rsid w:val="00443A05"/>
    <w:rsid w:val="004443AD"/>
    <w:rsid w:val="0044633C"/>
    <w:rsid w:val="0045585A"/>
    <w:rsid w:val="004603B5"/>
    <w:rsid w:val="00460723"/>
    <w:rsid w:val="00460771"/>
    <w:rsid w:val="00462453"/>
    <w:rsid w:val="004653B6"/>
    <w:rsid w:val="00467075"/>
    <w:rsid w:val="00467F0D"/>
    <w:rsid w:val="00475FDE"/>
    <w:rsid w:val="00476AD5"/>
    <w:rsid w:val="00476C5F"/>
    <w:rsid w:val="004774AE"/>
    <w:rsid w:val="00480863"/>
    <w:rsid w:val="00482953"/>
    <w:rsid w:val="0048514A"/>
    <w:rsid w:val="00490467"/>
    <w:rsid w:val="004A1A47"/>
    <w:rsid w:val="004A2ABD"/>
    <w:rsid w:val="004A3589"/>
    <w:rsid w:val="004A58B8"/>
    <w:rsid w:val="004A75E3"/>
    <w:rsid w:val="004B312C"/>
    <w:rsid w:val="004B41AD"/>
    <w:rsid w:val="004B68F3"/>
    <w:rsid w:val="004C46E3"/>
    <w:rsid w:val="004D0FA2"/>
    <w:rsid w:val="004D11EC"/>
    <w:rsid w:val="004E0CAF"/>
    <w:rsid w:val="004E0E4B"/>
    <w:rsid w:val="004E4841"/>
    <w:rsid w:val="004F75E7"/>
    <w:rsid w:val="00500810"/>
    <w:rsid w:val="00504FD3"/>
    <w:rsid w:val="00505741"/>
    <w:rsid w:val="00510D67"/>
    <w:rsid w:val="00510D76"/>
    <w:rsid w:val="005140B5"/>
    <w:rsid w:val="00514512"/>
    <w:rsid w:val="00522827"/>
    <w:rsid w:val="00523ABB"/>
    <w:rsid w:val="005301E5"/>
    <w:rsid w:val="005401B4"/>
    <w:rsid w:val="005405B5"/>
    <w:rsid w:val="00541307"/>
    <w:rsid w:val="005420BC"/>
    <w:rsid w:val="00550A1A"/>
    <w:rsid w:val="00552ECF"/>
    <w:rsid w:val="00553A40"/>
    <w:rsid w:val="00556471"/>
    <w:rsid w:val="00557C2D"/>
    <w:rsid w:val="005616FF"/>
    <w:rsid w:val="00561B19"/>
    <w:rsid w:val="00561D34"/>
    <w:rsid w:val="005621B0"/>
    <w:rsid w:val="0057100A"/>
    <w:rsid w:val="00571B03"/>
    <w:rsid w:val="00572109"/>
    <w:rsid w:val="00577CBD"/>
    <w:rsid w:val="00582718"/>
    <w:rsid w:val="005828E6"/>
    <w:rsid w:val="00593D96"/>
    <w:rsid w:val="00596C98"/>
    <w:rsid w:val="005A43A7"/>
    <w:rsid w:val="005A7B79"/>
    <w:rsid w:val="005B239B"/>
    <w:rsid w:val="005B33BE"/>
    <w:rsid w:val="005B6A1E"/>
    <w:rsid w:val="005C0DDA"/>
    <w:rsid w:val="005C50E6"/>
    <w:rsid w:val="005D0BF4"/>
    <w:rsid w:val="005D3A46"/>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A85"/>
    <w:rsid w:val="00611CEA"/>
    <w:rsid w:val="00613B32"/>
    <w:rsid w:val="006141ED"/>
    <w:rsid w:val="0061566B"/>
    <w:rsid w:val="00615E02"/>
    <w:rsid w:val="00617640"/>
    <w:rsid w:val="006208C7"/>
    <w:rsid w:val="00625D54"/>
    <w:rsid w:val="00626F17"/>
    <w:rsid w:val="00631459"/>
    <w:rsid w:val="00631C07"/>
    <w:rsid w:val="00632538"/>
    <w:rsid w:val="00634935"/>
    <w:rsid w:val="006359AC"/>
    <w:rsid w:val="00637650"/>
    <w:rsid w:val="006428AA"/>
    <w:rsid w:val="00642ED1"/>
    <w:rsid w:val="006437D6"/>
    <w:rsid w:val="00646356"/>
    <w:rsid w:val="00646774"/>
    <w:rsid w:val="006479C1"/>
    <w:rsid w:val="00655F9E"/>
    <w:rsid w:val="00657677"/>
    <w:rsid w:val="00663735"/>
    <w:rsid w:val="00672905"/>
    <w:rsid w:val="00672CA8"/>
    <w:rsid w:val="006740F1"/>
    <w:rsid w:val="006822FE"/>
    <w:rsid w:val="006858B5"/>
    <w:rsid w:val="006875F1"/>
    <w:rsid w:val="0069072D"/>
    <w:rsid w:val="00691195"/>
    <w:rsid w:val="00691A2A"/>
    <w:rsid w:val="00693EB1"/>
    <w:rsid w:val="0069456D"/>
    <w:rsid w:val="006956FC"/>
    <w:rsid w:val="006A25AB"/>
    <w:rsid w:val="006A4EEB"/>
    <w:rsid w:val="006A55B5"/>
    <w:rsid w:val="006A75C6"/>
    <w:rsid w:val="006B01F3"/>
    <w:rsid w:val="006B03F5"/>
    <w:rsid w:val="006B061A"/>
    <w:rsid w:val="006B510E"/>
    <w:rsid w:val="006C0A45"/>
    <w:rsid w:val="006C11F8"/>
    <w:rsid w:val="006C30E1"/>
    <w:rsid w:val="006C423B"/>
    <w:rsid w:val="006C68D3"/>
    <w:rsid w:val="006D220A"/>
    <w:rsid w:val="006D5EE9"/>
    <w:rsid w:val="006E33CC"/>
    <w:rsid w:val="006E4EEF"/>
    <w:rsid w:val="006E5AAA"/>
    <w:rsid w:val="006E6CFB"/>
    <w:rsid w:val="006F0B4A"/>
    <w:rsid w:val="006F669D"/>
    <w:rsid w:val="00703FC6"/>
    <w:rsid w:val="007106B6"/>
    <w:rsid w:val="007112EF"/>
    <w:rsid w:val="0071353C"/>
    <w:rsid w:val="007152AE"/>
    <w:rsid w:val="007160B2"/>
    <w:rsid w:val="0071616A"/>
    <w:rsid w:val="00716C1C"/>
    <w:rsid w:val="00720AC6"/>
    <w:rsid w:val="0072196E"/>
    <w:rsid w:val="00721C50"/>
    <w:rsid w:val="007313D5"/>
    <w:rsid w:val="0073315A"/>
    <w:rsid w:val="00736A10"/>
    <w:rsid w:val="00741B60"/>
    <w:rsid w:val="0074208B"/>
    <w:rsid w:val="00753145"/>
    <w:rsid w:val="007545AD"/>
    <w:rsid w:val="00762ED9"/>
    <w:rsid w:val="007650A7"/>
    <w:rsid w:val="00765AF5"/>
    <w:rsid w:val="00765F72"/>
    <w:rsid w:val="00773A13"/>
    <w:rsid w:val="00774C8F"/>
    <w:rsid w:val="00775408"/>
    <w:rsid w:val="00781264"/>
    <w:rsid w:val="00781295"/>
    <w:rsid w:val="00781370"/>
    <w:rsid w:val="0078289C"/>
    <w:rsid w:val="00784256"/>
    <w:rsid w:val="00785490"/>
    <w:rsid w:val="00786AB3"/>
    <w:rsid w:val="00791211"/>
    <w:rsid w:val="00793979"/>
    <w:rsid w:val="00796DC5"/>
    <w:rsid w:val="007A23D3"/>
    <w:rsid w:val="007A247D"/>
    <w:rsid w:val="007B0334"/>
    <w:rsid w:val="007B07CE"/>
    <w:rsid w:val="007B1F23"/>
    <w:rsid w:val="007B29AF"/>
    <w:rsid w:val="007B2C53"/>
    <w:rsid w:val="007B664D"/>
    <w:rsid w:val="007B794F"/>
    <w:rsid w:val="007C1658"/>
    <w:rsid w:val="007C2D9D"/>
    <w:rsid w:val="007C385D"/>
    <w:rsid w:val="007C3B08"/>
    <w:rsid w:val="007C563F"/>
    <w:rsid w:val="007C67B9"/>
    <w:rsid w:val="007C7B49"/>
    <w:rsid w:val="007D157D"/>
    <w:rsid w:val="007D2F15"/>
    <w:rsid w:val="007D6670"/>
    <w:rsid w:val="007D6F37"/>
    <w:rsid w:val="007D7736"/>
    <w:rsid w:val="007D7ED3"/>
    <w:rsid w:val="007E2C35"/>
    <w:rsid w:val="007E46E9"/>
    <w:rsid w:val="007E5208"/>
    <w:rsid w:val="007F028F"/>
    <w:rsid w:val="007F032B"/>
    <w:rsid w:val="007F3B9D"/>
    <w:rsid w:val="007F4E96"/>
    <w:rsid w:val="0080342C"/>
    <w:rsid w:val="00803547"/>
    <w:rsid w:val="00804F8C"/>
    <w:rsid w:val="00805AD5"/>
    <w:rsid w:val="008074CE"/>
    <w:rsid w:val="00810C40"/>
    <w:rsid w:val="00815A45"/>
    <w:rsid w:val="008160A3"/>
    <w:rsid w:val="00820384"/>
    <w:rsid w:val="00823359"/>
    <w:rsid w:val="008238A8"/>
    <w:rsid w:val="00823B14"/>
    <w:rsid w:val="00826463"/>
    <w:rsid w:val="00830258"/>
    <w:rsid w:val="008342E5"/>
    <w:rsid w:val="008344FC"/>
    <w:rsid w:val="00844B6F"/>
    <w:rsid w:val="008466CE"/>
    <w:rsid w:val="00853B1D"/>
    <w:rsid w:val="0085555C"/>
    <w:rsid w:val="008619E0"/>
    <w:rsid w:val="00863238"/>
    <w:rsid w:val="00863479"/>
    <w:rsid w:val="00863835"/>
    <w:rsid w:val="008653E1"/>
    <w:rsid w:val="00870B24"/>
    <w:rsid w:val="00871EDA"/>
    <w:rsid w:val="0087558D"/>
    <w:rsid w:val="00876D75"/>
    <w:rsid w:val="00877767"/>
    <w:rsid w:val="008825BB"/>
    <w:rsid w:val="008837DF"/>
    <w:rsid w:val="00887225"/>
    <w:rsid w:val="00887E4E"/>
    <w:rsid w:val="00890839"/>
    <w:rsid w:val="00891A22"/>
    <w:rsid w:val="00895589"/>
    <w:rsid w:val="008958C9"/>
    <w:rsid w:val="00895BD4"/>
    <w:rsid w:val="008971F2"/>
    <w:rsid w:val="008A0F1F"/>
    <w:rsid w:val="008A3073"/>
    <w:rsid w:val="008A376C"/>
    <w:rsid w:val="008A5A1F"/>
    <w:rsid w:val="008A6E8B"/>
    <w:rsid w:val="008A7D75"/>
    <w:rsid w:val="008B0045"/>
    <w:rsid w:val="008B14AD"/>
    <w:rsid w:val="008B1A37"/>
    <w:rsid w:val="008B43D1"/>
    <w:rsid w:val="008C4609"/>
    <w:rsid w:val="008C5E54"/>
    <w:rsid w:val="008D0445"/>
    <w:rsid w:val="008D0FD3"/>
    <w:rsid w:val="008D2F4C"/>
    <w:rsid w:val="008D661C"/>
    <w:rsid w:val="008E0B10"/>
    <w:rsid w:val="008E1555"/>
    <w:rsid w:val="008E4A8C"/>
    <w:rsid w:val="008E6646"/>
    <w:rsid w:val="008E7B90"/>
    <w:rsid w:val="008F1E7E"/>
    <w:rsid w:val="008F2313"/>
    <w:rsid w:val="008F23E3"/>
    <w:rsid w:val="008F4A2E"/>
    <w:rsid w:val="008F4FF9"/>
    <w:rsid w:val="00901B20"/>
    <w:rsid w:val="00903955"/>
    <w:rsid w:val="0090408D"/>
    <w:rsid w:val="00907ACF"/>
    <w:rsid w:val="009101B6"/>
    <w:rsid w:val="009150EC"/>
    <w:rsid w:val="00915A3B"/>
    <w:rsid w:val="0091668E"/>
    <w:rsid w:val="00917420"/>
    <w:rsid w:val="00917F7D"/>
    <w:rsid w:val="009202C7"/>
    <w:rsid w:val="0092150D"/>
    <w:rsid w:val="00922B91"/>
    <w:rsid w:val="00922C75"/>
    <w:rsid w:val="009336E3"/>
    <w:rsid w:val="0093378D"/>
    <w:rsid w:val="009338D2"/>
    <w:rsid w:val="00937EDB"/>
    <w:rsid w:val="00941803"/>
    <w:rsid w:val="00941EFF"/>
    <w:rsid w:val="009473B3"/>
    <w:rsid w:val="00947F2F"/>
    <w:rsid w:val="00950FC5"/>
    <w:rsid w:val="009518A0"/>
    <w:rsid w:val="009520FB"/>
    <w:rsid w:val="00952E1E"/>
    <w:rsid w:val="009553F6"/>
    <w:rsid w:val="00957152"/>
    <w:rsid w:val="00962023"/>
    <w:rsid w:val="00963EA6"/>
    <w:rsid w:val="0096629A"/>
    <w:rsid w:val="0097057C"/>
    <w:rsid w:val="009745CB"/>
    <w:rsid w:val="009752AF"/>
    <w:rsid w:val="009763AF"/>
    <w:rsid w:val="00977143"/>
    <w:rsid w:val="00984CEE"/>
    <w:rsid w:val="00990BD7"/>
    <w:rsid w:val="00990E2B"/>
    <w:rsid w:val="009956DC"/>
    <w:rsid w:val="009B004B"/>
    <w:rsid w:val="009B0DC7"/>
    <w:rsid w:val="009B3F14"/>
    <w:rsid w:val="009C0308"/>
    <w:rsid w:val="009C099C"/>
    <w:rsid w:val="009C41A9"/>
    <w:rsid w:val="009C455A"/>
    <w:rsid w:val="009C5680"/>
    <w:rsid w:val="009C56BA"/>
    <w:rsid w:val="009C57C0"/>
    <w:rsid w:val="009C61A9"/>
    <w:rsid w:val="009D2057"/>
    <w:rsid w:val="009D2742"/>
    <w:rsid w:val="009E16E9"/>
    <w:rsid w:val="009E1E23"/>
    <w:rsid w:val="009E2E64"/>
    <w:rsid w:val="009E5485"/>
    <w:rsid w:val="009E59C6"/>
    <w:rsid w:val="009F34F1"/>
    <w:rsid w:val="009F61A8"/>
    <w:rsid w:val="009F7C42"/>
    <w:rsid w:val="00A02938"/>
    <w:rsid w:val="00A13580"/>
    <w:rsid w:val="00A177F5"/>
    <w:rsid w:val="00A24CA1"/>
    <w:rsid w:val="00A26F4A"/>
    <w:rsid w:val="00A276F1"/>
    <w:rsid w:val="00A314C3"/>
    <w:rsid w:val="00A334BF"/>
    <w:rsid w:val="00A3358B"/>
    <w:rsid w:val="00A354D1"/>
    <w:rsid w:val="00A42967"/>
    <w:rsid w:val="00A51543"/>
    <w:rsid w:val="00A55683"/>
    <w:rsid w:val="00A62E65"/>
    <w:rsid w:val="00A634E8"/>
    <w:rsid w:val="00A747D2"/>
    <w:rsid w:val="00A75988"/>
    <w:rsid w:val="00A8073B"/>
    <w:rsid w:val="00A8345C"/>
    <w:rsid w:val="00A91524"/>
    <w:rsid w:val="00AA7CFC"/>
    <w:rsid w:val="00AB0A65"/>
    <w:rsid w:val="00AB4A5D"/>
    <w:rsid w:val="00AB69C5"/>
    <w:rsid w:val="00AC1BDF"/>
    <w:rsid w:val="00AC2965"/>
    <w:rsid w:val="00AC632A"/>
    <w:rsid w:val="00AC6B64"/>
    <w:rsid w:val="00AD567E"/>
    <w:rsid w:val="00AD6696"/>
    <w:rsid w:val="00AD6877"/>
    <w:rsid w:val="00AE2B7B"/>
    <w:rsid w:val="00AE3245"/>
    <w:rsid w:val="00AE3502"/>
    <w:rsid w:val="00AE54A9"/>
    <w:rsid w:val="00AE5E99"/>
    <w:rsid w:val="00AF373C"/>
    <w:rsid w:val="00AF4139"/>
    <w:rsid w:val="00AF773D"/>
    <w:rsid w:val="00B0561C"/>
    <w:rsid w:val="00B06D6B"/>
    <w:rsid w:val="00B0773D"/>
    <w:rsid w:val="00B1058F"/>
    <w:rsid w:val="00B109D6"/>
    <w:rsid w:val="00B114D6"/>
    <w:rsid w:val="00B144E4"/>
    <w:rsid w:val="00B15114"/>
    <w:rsid w:val="00B1613F"/>
    <w:rsid w:val="00B16E0A"/>
    <w:rsid w:val="00B216F7"/>
    <w:rsid w:val="00B21ED0"/>
    <w:rsid w:val="00B22A8E"/>
    <w:rsid w:val="00B23518"/>
    <w:rsid w:val="00B311F6"/>
    <w:rsid w:val="00B313BF"/>
    <w:rsid w:val="00B31772"/>
    <w:rsid w:val="00B33BF7"/>
    <w:rsid w:val="00B40970"/>
    <w:rsid w:val="00B415A9"/>
    <w:rsid w:val="00B44564"/>
    <w:rsid w:val="00B44E26"/>
    <w:rsid w:val="00B4634A"/>
    <w:rsid w:val="00B5136F"/>
    <w:rsid w:val="00B522D6"/>
    <w:rsid w:val="00B5695C"/>
    <w:rsid w:val="00B5776D"/>
    <w:rsid w:val="00B57DA3"/>
    <w:rsid w:val="00B63E54"/>
    <w:rsid w:val="00B645D3"/>
    <w:rsid w:val="00B7151A"/>
    <w:rsid w:val="00B72EBF"/>
    <w:rsid w:val="00B73A9D"/>
    <w:rsid w:val="00B7411D"/>
    <w:rsid w:val="00B842A0"/>
    <w:rsid w:val="00B84CDC"/>
    <w:rsid w:val="00B90BBF"/>
    <w:rsid w:val="00BA267D"/>
    <w:rsid w:val="00BA34D7"/>
    <w:rsid w:val="00BA6426"/>
    <w:rsid w:val="00BA6CA1"/>
    <w:rsid w:val="00BB0DC8"/>
    <w:rsid w:val="00BB3D5E"/>
    <w:rsid w:val="00BB3E49"/>
    <w:rsid w:val="00BB4478"/>
    <w:rsid w:val="00BB784E"/>
    <w:rsid w:val="00BC1472"/>
    <w:rsid w:val="00BC1706"/>
    <w:rsid w:val="00BC425F"/>
    <w:rsid w:val="00BC4299"/>
    <w:rsid w:val="00BC5EE7"/>
    <w:rsid w:val="00BC5F13"/>
    <w:rsid w:val="00BC71C8"/>
    <w:rsid w:val="00BD3E07"/>
    <w:rsid w:val="00BD5EAD"/>
    <w:rsid w:val="00BD7E49"/>
    <w:rsid w:val="00BE1703"/>
    <w:rsid w:val="00BE1C0B"/>
    <w:rsid w:val="00BE29FE"/>
    <w:rsid w:val="00BE2D1B"/>
    <w:rsid w:val="00BF23FA"/>
    <w:rsid w:val="00BF317D"/>
    <w:rsid w:val="00BF31F1"/>
    <w:rsid w:val="00BF5C54"/>
    <w:rsid w:val="00C037A8"/>
    <w:rsid w:val="00C041B0"/>
    <w:rsid w:val="00C0457F"/>
    <w:rsid w:val="00C063D7"/>
    <w:rsid w:val="00C06A7F"/>
    <w:rsid w:val="00C1390B"/>
    <w:rsid w:val="00C14306"/>
    <w:rsid w:val="00C217D1"/>
    <w:rsid w:val="00C22CF8"/>
    <w:rsid w:val="00C23A10"/>
    <w:rsid w:val="00C3186F"/>
    <w:rsid w:val="00C36898"/>
    <w:rsid w:val="00C4209F"/>
    <w:rsid w:val="00C4640F"/>
    <w:rsid w:val="00C46885"/>
    <w:rsid w:val="00C47B7F"/>
    <w:rsid w:val="00C5335B"/>
    <w:rsid w:val="00C54EAF"/>
    <w:rsid w:val="00C562B0"/>
    <w:rsid w:val="00C64BD4"/>
    <w:rsid w:val="00C65193"/>
    <w:rsid w:val="00C718C9"/>
    <w:rsid w:val="00C833FA"/>
    <w:rsid w:val="00C841ED"/>
    <w:rsid w:val="00C84CAB"/>
    <w:rsid w:val="00C853E7"/>
    <w:rsid w:val="00C97A14"/>
    <w:rsid w:val="00C97AAA"/>
    <w:rsid w:val="00CB3B13"/>
    <w:rsid w:val="00CC1570"/>
    <w:rsid w:val="00CC1B4A"/>
    <w:rsid w:val="00CC4B28"/>
    <w:rsid w:val="00CC51D1"/>
    <w:rsid w:val="00CC6A83"/>
    <w:rsid w:val="00CC7CEA"/>
    <w:rsid w:val="00CD11E6"/>
    <w:rsid w:val="00CD14B6"/>
    <w:rsid w:val="00CD200E"/>
    <w:rsid w:val="00CD59CF"/>
    <w:rsid w:val="00CD6952"/>
    <w:rsid w:val="00CD7580"/>
    <w:rsid w:val="00CD77C9"/>
    <w:rsid w:val="00CE2772"/>
    <w:rsid w:val="00CF11DB"/>
    <w:rsid w:val="00CF21C2"/>
    <w:rsid w:val="00CF2F57"/>
    <w:rsid w:val="00CF3D27"/>
    <w:rsid w:val="00CF4455"/>
    <w:rsid w:val="00CF4D8C"/>
    <w:rsid w:val="00D00D5F"/>
    <w:rsid w:val="00D067A7"/>
    <w:rsid w:val="00D07BE7"/>
    <w:rsid w:val="00D11FEF"/>
    <w:rsid w:val="00D12B91"/>
    <w:rsid w:val="00D12F52"/>
    <w:rsid w:val="00D12F9C"/>
    <w:rsid w:val="00D146CF"/>
    <w:rsid w:val="00D1590D"/>
    <w:rsid w:val="00D15E17"/>
    <w:rsid w:val="00D201B0"/>
    <w:rsid w:val="00D22EE9"/>
    <w:rsid w:val="00D264C1"/>
    <w:rsid w:val="00D31528"/>
    <w:rsid w:val="00D32FC7"/>
    <w:rsid w:val="00D34AAA"/>
    <w:rsid w:val="00D353DA"/>
    <w:rsid w:val="00D360ED"/>
    <w:rsid w:val="00D37C7F"/>
    <w:rsid w:val="00D418B2"/>
    <w:rsid w:val="00D41A17"/>
    <w:rsid w:val="00D47182"/>
    <w:rsid w:val="00D50458"/>
    <w:rsid w:val="00D606E2"/>
    <w:rsid w:val="00D67E5E"/>
    <w:rsid w:val="00D70639"/>
    <w:rsid w:val="00D72AB1"/>
    <w:rsid w:val="00D73C61"/>
    <w:rsid w:val="00D752C5"/>
    <w:rsid w:val="00D7642D"/>
    <w:rsid w:val="00D84335"/>
    <w:rsid w:val="00D8488F"/>
    <w:rsid w:val="00D85B26"/>
    <w:rsid w:val="00D86F0A"/>
    <w:rsid w:val="00D90CFE"/>
    <w:rsid w:val="00D93F31"/>
    <w:rsid w:val="00D945CA"/>
    <w:rsid w:val="00D976A0"/>
    <w:rsid w:val="00DB0C8F"/>
    <w:rsid w:val="00DB40CD"/>
    <w:rsid w:val="00DB7686"/>
    <w:rsid w:val="00DB7965"/>
    <w:rsid w:val="00DC0BC9"/>
    <w:rsid w:val="00DC4FF8"/>
    <w:rsid w:val="00DC6EF9"/>
    <w:rsid w:val="00DD0CC0"/>
    <w:rsid w:val="00DD2E1B"/>
    <w:rsid w:val="00DE3879"/>
    <w:rsid w:val="00DE6B25"/>
    <w:rsid w:val="00DE7ABF"/>
    <w:rsid w:val="00DF08B4"/>
    <w:rsid w:val="00DF143C"/>
    <w:rsid w:val="00DF1DCC"/>
    <w:rsid w:val="00E011BF"/>
    <w:rsid w:val="00E03286"/>
    <w:rsid w:val="00E03EDF"/>
    <w:rsid w:val="00E04AEB"/>
    <w:rsid w:val="00E04EED"/>
    <w:rsid w:val="00E054F3"/>
    <w:rsid w:val="00E07ACD"/>
    <w:rsid w:val="00E12C87"/>
    <w:rsid w:val="00E143A7"/>
    <w:rsid w:val="00E16A37"/>
    <w:rsid w:val="00E3149D"/>
    <w:rsid w:val="00E31818"/>
    <w:rsid w:val="00E33E7E"/>
    <w:rsid w:val="00E343A5"/>
    <w:rsid w:val="00E36072"/>
    <w:rsid w:val="00E431A8"/>
    <w:rsid w:val="00E46EE6"/>
    <w:rsid w:val="00E47A52"/>
    <w:rsid w:val="00E506FA"/>
    <w:rsid w:val="00E50D71"/>
    <w:rsid w:val="00E533D3"/>
    <w:rsid w:val="00E53D91"/>
    <w:rsid w:val="00E624AF"/>
    <w:rsid w:val="00E653D7"/>
    <w:rsid w:val="00E674B9"/>
    <w:rsid w:val="00E72243"/>
    <w:rsid w:val="00E75928"/>
    <w:rsid w:val="00E80521"/>
    <w:rsid w:val="00E815A6"/>
    <w:rsid w:val="00E82496"/>
    <w:rsid w:val="00E853EC"/>
    <w:rsid w:val="00E85DE4"/>
    <w:rsid w:val="00E9145E"/>
    <w:rsid w:val="00E942AA"/>
    <w:rsid w:val="00E95738"/>
    <w:rsid w:val="00E971F8"/>
    <w:rsid w:val="00EA4822"/>
    <w:rsid w:val="00EA6A8B"/>
    <w:rsid w:val="00EB2387"/>
    <w:rsid w:val="00EB3283"/>
    <w:rsid w:val="00EB4874"/>
    <w:rsid w:val="00EB6709"/>
    <w:rsid w:val="00EB7B2D"/>
    <w:rsid w:val="00EC3550"/>
    <w:rsid w:val="00EC4BE9"/>
    <w:rsid w:val="00ED0199"/>
    <w:rsid w:val="00ED13FB"/>
    <w:rsid w:val="00EE3952"/>
    <w:rsid w:val="00EE3B9E"/>
    <w:rsid w:val="00EE7C48"/>
    <w:rsid w:val="00EF3B4C"/>
    <w:rsid w:val="00EF4CE6"/>
    <w:rsid w:val="00EF7BDE"/>
    <w:rsid w:val="00F04F01"/>
    <w:rsid w:val="00F05E5B"/>
    <w:rsid w:val="00F15881"/>
    <w:rsid w:val="00F178E4"/>
    <w:rsid w:val="00F20CAE"/>
    <w:rsid w:val="00F2485E"/>
    <w:rsid w:val="00F2575E"/>
    <w:rsid w:val="00F2689E"/>
    <w:rsid w:val="00F304F3"/>
    <w:rsid w:val="00F332B8"/>
    <w:rsid w:val="00F3429D"/>
    <w:rsid w:val="00F36788"/>
    <w:rsid w:val="00F36A5A"/>
    <w:rsid w:val="00F4245C"/>
    <w:rsid w:val="00F425E6"/>
    <w:rsid w:val="00F43D9B"/>
    <w:rsid w:val="00F47A54"/>
    <w:rsid w:val="00F509BA"/>
    <w:rsid w:val="00F52331"/>
    <w:rsid w:val="00F532F8"/>
    <w:rsid w:val="00F5605D"/>
    <w:rsid w:val="00F60E33"/>
    <w:rsid w:val="00F66931"/>
    <w:rsid w:val="00F70F5D"/>
    <w:rsid w:val="00F7305B"/>
    <w:rsid w:val="00F73E1F"/>
    <w:rsid w:val="00F7641E"/>
    <w:rsid w:val="00F76A32"/>
    <w:rsid w:val="00F76C48"/>
    <w:rsid w:val="00F77314"/>
    <w:rsid w:val="00F85079"/>
    <w:rsid w:val="00FA60FE"/>
    <w:rsid w:val="00FA68FE"/>
    <w:rsid w:val="00FB0D39"/>
    <w:rsid w:val="00FB1191"/>
    <w:rsid w:val="00FB1B3F"/>
    <w:rsid w:val="00FB539F"/>
    <w:rsid w:val="00FB5809"/>
    <w:rsid w:val="00FB6B08"/>
    <w:rsid w:val="00FB6F67"/>
    <w:rsid w:val="00FC0D93"/>
    <w:rsid w:val="00FC5631"/>
    <w:rsid w:val="00FD4A5B"/>
    <w:rsid w:val="00FD7935"/>
    <w:rsid w:val="00FE0455"/>
    <w:rsid w:val="00FE1EB5"/>
    <w:rsid w:val="00FE40A5"/>
    <w:rsid w:val="00FF2CB4"/>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C7EE4E"/>
  <w15:docId w15:val="{79522E89-7FA9-458C-AA46-437CCA9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E9"/>
  </w:style>
  <w:style w:type="paragraph" w:styleId="Ttulo1">
    <w:name w:val="heading 1"/>
    <w:basedOn w:val="Normal"/>
    <w:next w:val="Normal"/>
    <w:link w:val="Ttulo1C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970"/>
    <w:pPr>
      <w:ind w:left="720"/>
      <w:contextualSpacing/>
    </w:pPr>
  </w:style>
  <w:style w:type="table" w:styleId="Tablaconcuadrcula">
    <w:name w:val="Table Grid"/>
    <w:basedOn w:val="Tabla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22A8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B22A8E"/>
  </w:style>
  <w:style w:type="paragraph" w:styleId="Piedepgina">
    <w:name w:val="footer"/>
    <w:basedOn w:val="Normal"/>
    <w:link w:val="PiedepginaCar"/>
    <w:uiPriority w:val="99"/>
    <w:unhideWhenUsed/>
    <w:rsid w:val="00B22A8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B22A8E"/>
  </w:style>
  <w:style w:type="character" w:styleId="Textoennegrita">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Sinespaciado">
    <w:name w:val="No Spacing"/>
    <w:link w:val="SinespaciadoCar"/>
    <w:uiPriority w:val="1"/>
    <w:qFormat/>
    <w:rsid w:val="00A747D2"/>
    <w:pPr>
      <w:spacing w:before="0" w:beforeAutospacing="0" w:after="0" w:afterAutospacing="0" w:line="240" w:lineRule="auto"/>
      <w:jc w:val="left"/>
    </w:pPr>
    <w:rPr>
      <w:rFonts w:eastAsiaTheme="minorEastAsia"/>
      <w:lang w:val="es-ES"/>
    </w:rPr>
  </w:style>
  <w:style w:type="character" w:customStyle="1" w:styleId="SinespaciadoCar">
    <w:name w:val="Sin espaciado Car"/>
    <w:basedOn w:val="Fuentedeprrafopredeter"/>
    <w:link w:val="Sinespaciado"/>
    <w:uiPriority w:val="1"/>
    <w:rsid w:val="00A747D2"/>
    <w:rPr>
      <w:rFonts w:eastAsiaTheme="minorEastAsia"/>
      <w:lang w:val="es-ES"/>
    </w:rPr>
  </w:style>
  <w:style w:type="character" w:customStyle="1" w:styleId="Ttulo1Car">
    <w:name w:val="Título 1 Car"/>
    <w:basedOn w:val="Fuentedeprrafopredeter"/>
    <w:link w:val="Ttulo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E3879"/>
    <w:rPr>
      <w:rFonts w:asciiTheme="majorHAnsi" w:eastAsiaTheme="majorEastAsia" w:hAnsiTheme="majorHAnsi" w:cstheme="majorBidi"/>
      <w:b/>
      <w:bCs/>
      <w:color w:val="4F81BD" w:themeColor="accent1"/>
      <w:sz w:val="26"/>
      <w:szCs w:val="26"/>
    </w:rPr>
  </w:style>
  <w:style w:type="paragraph" w:styleId="Lista2">
    <w:name w:val="List 2"/>
    <w:basedOn w:val="Normal"/>
    <w:uiPriority w:val="99"/>
    <w:unhideWhenUsed/>
    <w:rsid w:val="00DE3879"/>
    <w:pPr>
      <w:ind w:left="566" w:hanging="283"/>
      <w:contextualSpacing/>
    </w:pPr>
  </w:style>
  <w:style w:type="paragraph" w:styleId="Lista3">
    <w:name w:val="List 3"/>
    <w:basedOn w:val="Normal"/>
    <w:uiPriority w:val="99"/>
    <w:unhideWhenUsed/>
    <w:rsid w:val="00DE3879"/>
    <w:pPr>
      <w:ind w:left="849" w:hanging="283"/>
      <w:contextualSpacing/>
    </w:pPr>
  </w:style>
  <w:style w:type="paragraph" w:styleId="Saludo">
    <w:name w:val="Salutation"/>
    <w:basedOn w:val="Normal"/>
    <w:next w:val="Normal"/>
    <w:link w:val="SaludoCar"/>
    <w:uiPriority w:val="99"/>
    <w:unhideWhenUsed/>
    <w:rsid w:val="00DE3879"/>
  </w:style>
  <w:style w:type="character" w:customStyle="1" w:styleId="SaludoCar">
    <w:name w:val="Saludo Car"/>
    <w:basedOn w:val="Fuentedeprrafopredeter"/>
    <w:link w:val="Saludo"/>
    <w:uiPriority w:val="99"/>
    <w:rsid w:val="00DE3879"/>
  </w:style>
  <w:style w:type="paragraph" w:styleId="Fecha">
    <w:name w:val="Date"/>
    <w:basedOn w:val="Normal"/>
    <w:next w:val="Normal"/>
    <w:link w:val="FechaCar"/>
    <w:uiPriority w:val="99"/>
    <w:unhideWhenUsed/>
    <w:rsid w:val="00DE3879"/>
  </w:style>
  <w:style w:type="character" w:customStyle="1" w:styleId="FechaCar">
    <w:name w:val="Fecha Car"/>
    <w:basedOn w:val="Fuentedeprrafopredeter"/>
    <w:link w:val="Fecha"/>
    <w:uiPriority w:val="99"/>
    <w:rsid w:val="00DE3879"/>
  </w:style>
  <w:style w:type="paragraph" w:styleId="Descripcin">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DE3879"/>
    <w:pPr>
      <w:spacing w:after="120"/>
    </w:pPr>
  </w:style>
  <w:style w:type="character" w:customStyle="1" w:styleId="TextoindependienteCar">
    <w:name w:val="Texto independiente Car"/>
    <w:basedOn w:val="Fuentedeprrafopredeter"/>
    <w:link w:val="Textoindependiente"/>
    <w:uiPriority w:val="99"/>
    <w:rsid w:val="00DE3879"/>
  </w:style>
  <w:style w:type="paragraph" w:styleId="Sangradetextonormal">
    <w:name w:val="Body Text Indent"/>
    <w:basedOn w:val="Normal"/>
    <w:link w:val="SangradetextonormalCar"/>
    <w:uiPriority w:val="99"/>
    <w:semiHidden/>
    <w:unhideWhenUsed/>
    <w:rsid w:val="00DE3879"/>
    <w:pPr>
      <w:spacing w:after="120"/>
      <w:ind w:left="283"/>
    </w:pPr>
  </w:style>
  <w:style w:type="character" w:customStyle="1" w:styleId="SangradetextonormalCar">
    <w:name w:val="Sangría de texto normal Car"/>
    <w:basedOn w:val="Fuentedeprrafopredeter"/>
    <w:link w:val="Sangradetextonormal"/>
    <w:uiPriority w:val="99"/>
    <w:semiHidden/>
    <w:rsid w:val="00DE3879"/>
  </w:style>
  <w:style w:type="paragraph" w:styleId="Textoindependienteprimerasangra2">
    <w:name w:val="Body Text First Indent 2"/>
    <w:basedOn w:val="Sangradetextonormal"/>
    <w:link w:val="Textoindependienteprimerasangra2Car"/>
    <w:uiPriority w:val="99"/>
    <w:unhideWhenUsed/>
    <w:rsid w:val="00DE387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879"/>
  </w:style>
  <w:style w:type="paragraph" w:styleId="Textodeglobo">
    <w:name w:val="Balloon Text"/>
    <w:basedOn w:val="Normal"/>
    <w:link w:val="TextodegloboCar"/>
    <w:uiPriority w:val="99"/>
    <w:semiHidden/>
    <w:unhideWhenUsed/>
    <w:rsid w:val="00716C1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895A-B761-4820-93D5-4592F418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13</Pages>
  <Words>3208</Words>
  <Characters>17646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hp</cp:lastModifiedBy>
  <cp:revision>24</cp:revision>
  <cp:lastPrinted>2018-02-22T17:42:00Z</cp:lastPrinted>
  <dcterms:created xsi:type="dcterms:W3CDTF">2017-10-23T17:27:00Z</dcterms:created>
  <dcterms:modified xsi:type="dcterms:W3CDTF">2018-02-26T18:54:00Z</dcterms:modified>
</cp:coreProperties>
</file>