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F" w:rsidRDefault="001C415F" w:rsidP="00BC5EE7">
      <w:pPr>
        <w:jc w:val="center"/>
        <w:rPr>
          <w:rFonts w:ascii="Arial" w:hAnsi="Arial" w:cs="Arial"/>
          <w:b/>
          <w:sz w:val="21"/>
          <w:szCs w:val="21"/>
        </w:rPr>
      </w:pPr>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9C099C" w:rsidRPr="00703FC6" w:rsidRDefault="009C099C">
      <w:pPr>
        <w:rPr>
          <w:rFonts w:ascii="Arial" w:hAnsi="Arial" w:cs="Arial"/>
          <w:sz w:val="21"/>
          <w:szCs w:val="21"/>
        </w:rPr>
      </w:pP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p w:rsidR="009C099C" w:rsidRPr="00703FC6" w:rsidRDefault="009C099C" w:rsidP="00561B19">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691"/>
        <w:gridCol w:w="3251"/>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Fondo Fijo</w:t>
            </w:r>
          </w:p>
        </w:tc>
        <w:tc>
          <w:tcPr>
            <w:tcW w:w="2691" w:type="dxa"/>
            <w:vAlign w:val="center"/>
          </w:tcPr>
          <w:p w:rsidR="00E31818" w:rsidRPr="00703FC6" w:rsidRDefault="00E31818" w:rsidP="00E31818">
            <w:pPr>
              <w:jc w:val="center"/>
              <w:rPr>
                <w:rFonts w:ascii="Arial" w:hAnsi="Arial" w:cs="Arial"/>
                <w:sz w:val="21"/>
                <w:szCs w:val="21"/>
              </w:rPr>
            </w:pPr>
          </w:p>
        </w:tc>
        <w:tc>
          <w:tcPr>
            <w:tcW w:w="3251" w:type="dxa"/>
            <w:vAlign w:val="center"/>
          </w:tcPr>
          <w:p w:rsidR="00E31818" w:rsidRPr="00703FC6" w:rsidRDefault="00E31818" w:rsidP="00561B19">
            <w:pPr>
              <w:jc w:val="right"/>
              <w:rPr>
                <w:rFonts w:ascii="Arial" w:hAnsi="Arial" w:cs="Arial"/>
                <w:sz w:val="21"/>
                <w:szCs w:val="21"/>
              </w:rPr>
            </w:pPr>
            <w:r w:rsidRPr="00703FC6">
              <w:rPr>
                <w:rFonts w:ascii="Arial" w:hAnsi="Arial" w:cs="Arial"/>
                <w:sz w:val="21"/>
                <w:szCs w:val="21"/>
              </w:rPr>
              <w:t>26,000.00</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AC1BDF" w:rsidP="00AC1BDF">
            <w:pPr>
              <w:jc w:val="right"/>
              <w:rPr>
                <w:rFonts w:ascii="Arial" w:hAnsi="Arial" w:cs="Arial"/>
                <w:sz w:val="21"/>
                <w:szCs w:val="21"/>
              </w:rPr>
            </w:pPr>
            <w:r>
              <w:rPr>
                <w:rFonts w:ascii="Arial" w:hAnsi="Arial" w:cs="Arial"/>
                <w:sz w:val="21"/>
                <w:szCs w:val="21"/>
              </w:rPr>
              <w:t>1,</w:t>
            </w:r>
            <w:r w:rsidR="00CD59CF">
              <w:rPr>
                <w:rFonts w:ascii="Arial" w:hAnsi="Arial" w:cs="Arial"/>
                <w:sz w:val="21"/>
                <w:szCs w:val="21"/>
              </w:rPr>
              <w:t>9</w:t>
            </w:r>
            <w:r>
              <w:rPr>
                <w:rFonts w:ascii="Arial" w:hAnsi="Arial" w:cs="Arial"/>
                <w:sz w:val="21"/>
                <w:szCs w:val="21"/>
              </w:rPr>
              <w:t>65</w:t>
            </w:r>
            <w:r w:rsidR="00CD59CF">
              <w:rPr>
                <w:rFonts w:ascii="Arial" w:hAnsi="Arial" w:cs="Arial"/>
                <w:sz w:val="21"/>
                <w:szCs w:val="21"/>
              </w:rPr>
              <w:t>,</w:t>
            </w:r>
            <w:r>
              <w:rPr>
                <w:rFonts w:ascii="Arial" w:hAnsi="Arial" w:cs="Arial"/>
                <w:sz w:val="21"/>
                <w:szCs w:val="21"/>
              </w:rPr>
              <w:t>238.57</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91668E" w:rsidRDefault="00AC1BDF" w:rsidP="00AC1BDF">
            <w:pPr>
              <w:jc w:val="right"/>
              <w:rPr>
                <w:rFonts w:ascii="Arial" w:hAnsi="Arial" w:cs="Arial"/>
                <w:sz w:val="21"/>
                <w:szCs w:val="21"/>
              </w:rPr>
            </w:pPr>
            <w:r>
              <w:rPr>
                <w:rFonts w:ascii="Arial" w:hAnsi="Arial" w:cs="Arial"/>
                <w:sz w:val="21"/>
                <w:szCs w:val="21"/>
              </w:rPr>
              <w:t>312</w:t>
            </w:r>
            <w:r w:rsidR="0091668E" w:rsidRPr="0091668E">
              <w:rPr>
                <w:rFonts w:ascii="Arial" w:hAnsi="Arial" w:cs="Arial"/>
                <w:sz w:val="21"/>
                <w:szCs w:val="21"/>
              </w:rPr>
              <w:t>,</w:t>
            </w:r>
            <w:r>
              <w:rPr>
                <w:rFonts w:ascii="Arial" w:hAnsi="Arial" w:cs="Arial"/>
                <w:sz w:val="21"/>
                <w:szCs w:val="21"/>
              </w:rPr>
              <w:t>902.51</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91668E" w:rsidRDefault="00AC1BDF" w:rsidP="00CD59CF">
            <w:pPr>
              <w:jc w:val="right"/>
              <w:rPr>
                <w:rFonts w:ascii="Arial" w:hAnsi="Arial" w:cs="Arial"/>
                <w:sz w:val="21"/>
                <w:szCs w:val="21"/>
              </w:rPr>
            </w:pPr>
            <w:r>
              <w:rPr>
                <w:rFonts w:ascii="Arial" w:hAnsi="Arial" w:cs="Arial"/>
                <w:sz w:val="21"/>
                <w:szCs w:val="21"/>
              </w:rPr>
              <w:t>5,245,728.40</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AC1BDF" w:rsidP="00B44564">
            <w:pPr>
              <w:spacing w:before="100" w:after="100"/>
              <w:jc w:val="right"/>
              <w:rPr>
                <w:rFonts w:ascii="Arial" w:hAnsi="Arial" w:cs="Arial"/>
                <w:b/>
                <w:sz w:val="21"/>
                <w:szCs w:val="21"/>
              </w:rPr>
            </w:pPr>
            <w:r>
              <w:rPr>
                <w:rFonts w:ascii="Arial" w:hAnsi="Arial" w:cs="Arial"/>
                <w:b/>
                <w:sz w:val="21"/>
                <w:szCs w:val="21"/>
              </w:rPr>
              <w:t>7</w:t>
            </w:r>
            <w:r w:rsidR="00331D57">
              <w:rPr>
                <w:rFonts w:ascii="Arial" w:hAnsi="Arial" w:cs="Arial"/>
                <w:b/>
                <w:sz w:val="21"/>
                <w:szCs w:val="21"/>
              </w:rPr>
              <w:t>,</w:t>
            </w:r>
            <w:r>
              <w:rPr>
                <w:rFonts w:ascii="Arial" w:hAnsi="Arial" w:cs="Arial"/>
                <w:b/>
                <w:sz w:val="21"/>
                <w:szCs w:val="21"/>
              </w:rPr>
              <w:t>5</w:t>
            </w:r>
            <w:r w:rsidR="00B44564">
              <w:rPr>
                <w:rFonts w:ascii="Arial" w:hAnsi="Arial" w:cs="Arial"/>
                <w:b/>
                <w:sz w:val="21"/>
                <w:szCs w:val="21"/>
              </w:rPr>
              <w:t>49</w:t>
            </w:r>
            <w:r w:rsidR="00CD59CF">
              <w:rPr>
                <w:rFonts w:ascii="Arial" w:hAnsi="Arial" w:cs="Arial"/>
                <w:b/>
                <w:sz w:val="21"/>
                <w:szCs w:val="21"/>
              </w:rPr>
              <w:t>,8</w:t>
            </w:r>
            <w:r>
              <w:rPr>
                <w:rFonts w:ascii="Arial" w:hAnsi="Arial" w:cs="Arial"/>
                <w:b/>
                <w:sz w:val="21"/>
                <w:szCs w:val="21"/>
              </w:rPr>
              <w:t>69.48</w:t>
            </w:r>
          </w:p>
        </w:tc>
      </w:tr>
      <w:tr w:rsidR="009C099C" w:rsidRPr="00703FC6" w:rsidTr="00BD3E07">
        <w:tc>
          <w:tcPr>
            <w:tcW w:w="5803" w:type="dxa"/>
            <w:gridSpan w:val="2"/>
            <w:vAlign w:val="center"/>
          </w:tcPr>
          <w:p w:rsidR="009C099C" w:rsidRPr="00703FC6" w:rsidRDefault="009C099C" w:rsidP="00CC7CEA">
            <w:pPr>
              <w:jc w:val="right"/>
              <w:rPr>
                <w:rFonts w:ascii="Arial" w:hAnsi="Arial" w:cs="Arial"/>
                <w:b/>
                <w:sz w:val="21"/>
                <w:szCs w:val="21"/>
              </w:rPr>
            </w:pPr>
          </w:p>
        </w:tc>
        <w:tc>
          <w:tcPr>
            <w:tcW w:w="3251"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691"/>
        <w:gridCol w:w="3251"/>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251" w:type="dxa"/>
            <w:vAlign w:val="center"/>
          </w:tcPr>
          <w:p w:rsidR="00BF5C54" w:rsidRDefault="00AC1BDF" w:rsidP="00AC1BDF">
            <w:pPr>
              <w:jc w:val="right"/>
              <w:rPr>
                <w:rFonts w:ascii="Arial" w:hAnsi="Arial" w:cs="Arial"/>
                <w:sz w:val="21"/>
                <w:szCs w:val="21"/>
              </w:rPr>
            </w:pPr>
            <w:r>
              <w:rPr>
                <w:rFonts w:ascii="Arial" w:hAnsi="Arial" w:cs="Arial"/>
                <w:sz w:val="21"/>
                <w:szCs w:val="21"/>
              </w:rPr>
              <w:t>175</w:t>
            </w:r>
            <w:r w:rsidR="00480863">
              <w:rPr>
                <w:rFonts w:ascii="Arial" w:hAnsi="Arial" w:cs="Arial"/>
                <w:sz w:val="21"/>
                <w:szCs w:val="21"/>
              </w:rPr>
              <w:t>,</w:t>
            </w:r>
            <w:r>
              <w:rPr>
                <w:rFonts w:ascii="Arial" w:hAnsi="Arial" w:cs="Arial"/>
                <w:sz w:val="21"/>
                <w:szCs w:val="21"/>
              </w:rPr>
              <w:t>373.81</w:t>
            </w:r>
          </w:p>
        </w:tc>
      </w:tr>
      <w:tr w:rsidR="009C57C0" w:rsidRPr="00703FC6" w:rsidTr="00B5136F">
        <w:tc>
          <w:tcPr>
            <w:tcW w:w="3112" w:type="dxa"/>
            <w:vAlign w:val="center"/>
          </w:tcPr>
          <w:p w:rsidR="009C57C0" w:rsidRPr="00703FC6" w:rsidRDefault="009C57C0" w:rsidP="00B44564">
            <w:pPr>
              <w:jc w:val="left"/>
              <w:rPr>
                <w:rFonts w:ascii="Arial" w:hAnsi="Arial" w:cs="Arial"/>
                <w:sz w:val="21"/>
                <w:szCs w:val="21"/>
              </w:rPr>
            </w:pPr>
            <w:r>
              <w:rPr>
                <w:rFonts w:ascii="Arial" w:hAnsi="Arial" w:cs="Arial"/>
                <w:sz w:val="21"/>
                <w:szCs w:val="21"/>
              </w:rPr>
              <w:t xml:space="preserve">Cuentas </w:t>
            </w:r>
            <w:r w:rsidRPr="00BA6426">
              <w:rPr>
                <w:rFonts w:ascii="Arial" w:hAnsi="Arial" w:cs="Arial"/>
                <w:color w:val="000000" w:themeColor="text1"/>
                <w:sz w:val="21"/>
                <w:szCs w:val="21"/>
              </w:rPr>
              <w:t xml:space="preserve">por </w:t>
            </w:r>
            <w:r w:rsidR="00B44564" w:rsidRPr="00BA6426">
              <w:rPr>
                <w:rFonts w:ascii="Arial" w:hAnsi="Arial" w:cs="Arial"/>
                <w:color w:val="000000" w:themeColor="text1"/>
                <w:sz w:val="21"/>
                <w:szCs w:val="21"/>
              </w:rPr>
              <w:t>Cobrar</w:t>
            </w:r>
            <w:r w:rsidRPr="00BA6426">
              <w:rPr>
                <w:rFonts w:ascii="Arial" w:hAnsi="Arial" w:cs="Arial"/>
                <w:color w:val="000000" w:themeColor="text1"/>
                <w:sz w:val="21"/>
                <w:szCs w:val="21"/>
              </w:rPr>
              <w:t xml:space="preserve"> </w:t>
            </w:r>
            <w:r>
              <w:rPr>
                <w:rFonts w:ascii="Arial" w:hAnsi="Arial" w:cs="Arial"/>
                <w:sz w:val="21"/>
                <w:szCs w:val="21"/>
              </w:rPr>
              <w:t>a Corto Plazo</w:t>
            </w:r>
          </w:p>
        </w:tc>
        <w:tc>
          <w:tcPr>
            <w:tcW w:w="2691" w:type="dxa"/>
            <w:vAlign w:val="center"/>
          </w:tcPr>
          <w:p w:rsidR="009C57C0" w:rsidRPr="00703FC6" w:rsidRDefault="009C57C0" w:rsidP="009338D2">
            <w:pPr>
              <w:jc w:val="center"/>
              <w:rPr>
                <w:rFonts w:ascii="Arial" w:hAnsi="Arial" w:cs="Arial"/>
                <w:sz w:val="21"/>
                <w:szCs w:val="21"/>
              </w:rPr>
            </w:pPr>
            <w:r>
              <w:rPr>
                <w:rFonts w:ascii="Arial" w:hAnsi="Arial" w:cs="Arial"/>
                <w:sz w:val="21"/>
                <w:szCs w:val="21"/>
              </w:rPr>
              <w:t xml:space="preserve">Subsidio de </w:t>
            </w:r>
            <w:r w:rsidR="0010238E">
              <w:rPr>
                <w:rFonts w:ascii="Arial" w:hAnsi="Arial" w:cs="Arial"/>
                <w:sz w:val="21"/>
                <w:szCs w:val="21"/>
              </w:rPr>
              <w:t xml:space="preserve">nómina y </w:t>
            </w:r>
            <w:r>
              <w:rPr>
                <w:rFonts w:ascii="Arial" w:hAnsi="Arial" w:cs="Arial"/>
                <w:sz w:val="21"/>
                <w:szCs w:val="21"/>
              </w:rPr>
              <w:t>gasto op</w:t>
            </w:r>
            <w:r w:rsidR="006E33CC">
              <w:rPr>
                <w:rFonts w:ascii="Arial" w:hAnsi="Arial" w:cs="Arial"/>
                <w:sz w:val="21"/>
                <w:szCs w:val="21"/>
              </w:rPr>
              <w:t>e</w:t>
            </w:r>
            <w:r>
              <w:rPr>
                <w:rFonts w:ascii="Arial" w:hAnsi="Arial" w:cs="Arial"/>
                <w:sz w:val="21"/>
                <w:szCs w:val="21"/>
              </w:rPr>
              <w:t>rativo</w:t>
            </w:r>
          </w:p>
        </w:tc>
        <w:tc>
          <w:tcPr>
            <w:tcW w:w="3251" w:type="dxa"/>
            <w:vAlign w:val="center"/>
          </w:tcPr>
          <w:p w:rsidR="009C57C0" w:rsidRDefault="00CD59CF" w:rsidP="00F4245C">
            <w:pPr>
              <w:jc w:val="right"/>
              <w:rPr>
                <w:rFonts w:ascii="Arial" w:hAnsi="Arial" w:cs="Arial"/>
                <w:sz w:val="21"/>
                <w:szCs w:val="21"/>
              </w:rPr>
            </w:pPr>
            <w:r>
              <w:rPr>
                <w:rFonts w:ascii="Arial" w:hAnsi="Arial" w:cs="Arial"/>
                <w:sz w:val="21"/>
                <w:szCs w:val="21"/>
              </w:rPr>
              <w:t>2</w:t>
            </w:r>
            <w:r w:rsidR="008D0445">
              <w:rPr>
                <w:rFonts w:ascii="Arial" w:hAnsi="Arial" w:cs="Arial"/>
                <w:sz w:val="21"/>
                <w:szCs w:val="21"/>
              </w:rPr>
              <w:t>,</w:t>
            </w:r>
            <w:r w:rsidR="00F4245C">
              <w:rPr>
                <w:rFonts w:ascii="Arial" w:hAnsi="Arial" w:cs="Arial"/>
                <w:sz w:val="21"/>
                <w:szCs w:val="21"/>
              </w:rPr>
              <w:t>924</w:t>
            </w:r>
            <w:r w:rsidR="008D0445">
              <w:rPr>
                <w:rFonts w:ascii="Arial" w:hAnsi="Arial" w:cs="Arial"/>
                <w:sz w:val="21"/>
                <w:szCs w:val="21"/>
              </w:rPr>
              <w:t>,</w:t>
            </w:r>
            <w:r w:rsidR="00F4245C">
              <w:rPr>
                <w:rFonts w:ascii="Arial" w:hAnsi="Arial" w:cs="Arial"/>
                <w:sz w:val="21"/>
                <w:szCs w:val="21"/>
              </w:rPr>
              <w:t>493.35</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Anticipo a proveedores</w:t>
            </w:r>
          </w:p>
        </w:tc>
        <w:tc>
          <w:tcPr>
            <w:tcW w:w="2691" w:type="dxa"/>
            <w:vAlign w:val="center"/>
          </w:tcPr>
          <w:p w:rsidR="00BF5C54" w:rsidRPr="00703FC6" w:rsidRDefault="00BF5C54" w:rsidP="00D418B2">
            <w:pPr>
              <w:jc w:val="center"/>
              <w:rPr>
                <w:rFonts w:ascii="Arial" w:hAnsi="Arial" w:cs="Arial"/>
                <w:sz w:val="21"/>
                <w:szCs w:val="21"/>
              </w:rPr>
            </w:pPr>
            <w:r w:rsidRPr="00703FC6">
              <w:rPr>
                <w:rFonts w:ascii="Arial" w:hAnsi="Arial" w:cs="Arial"/>
                <w:sz w:val="21"/>
                <w:szCs w:val="21"/>
              </w:rPr>
              <w:t xml:space="preserve">Recarga TAG </w:t>
            </w:r>
            <w:proofErr w:type="spellStart"/>
            <w:r w:rsidRPr="00703FC6">
              <w:rPr>
                <w:rFonts w:ascii="Arial" w:hAnsi="Arial" w:cs="Arial"/>
                <w:sz w:val="21"/>
                <w:szCs w:val="21"/>
              </w:rPr>
              <w:t>Televía</w:t>
            </w:r>
            <w:proofErr w:type="spellEnd"/>
          </w:p>
        </w:tc>
        <w:tc>
          <w:tcPr>
            <w:tcW w:w="3251" w:type="dxa"/>
            <w:vAlign w:val="center"/>
          </w:tcPr>
          <w:p w:rsidR="00BF5C54" w:rsidRPr="00703FC6" w:rsidRDefault="00AC1BDF" w:rsidP="00AC1BDF">
            <w:pPr>
              <w:jc w:val="right"/>
              <w:rPr>
                <w:rFonts w:ascii="Arial" w:hAnsi="Arial" w:cs="Arial"/>
                <w:sz w:val="21"/>
                <w:szCs w:val="21"/>
              </w:rPr>
            </w:pPr>
            <w:r>
              <w:rPr>
                <w:rFonts w:ascii="Arial" w:hAnsi="Arial" w:cs="Arial"/>
                <w:sz w:val="21"/>
                <w:szCs w:val="21"/>
              </w:rPr>
              <w:t>8</w:t>
            </w:r>
            <w:r w:rsidR="008D0445">
              <w:rPr>
                <w:rFonts w:ascii="Arial" w:hAnsi="Arial" w:cs="Arial"/>
                <w:sz w:val="21"/>
                <w:szCs w:val="21"/>
              </w:rPr>
              <w:t>,</w:t>
            </w:r>
            <w:r>
              <w:rPr>
                <w:rFonts w:ascii="Arial" w:hAnsi="Arial" w:cs="Arial"/>
                <w:sz w:val="21"/>
                <w:szCs w:val="21"/>
              </w:rPr>
              <w:t>788.04</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BF5C54" w:rsidRPr="00BC71C8" w:rsidRDefault="00CC1570" w:rsidP="00CC1570">
            <w:pPr>
              <w:jc w:val="right"/>
              <w:rPr>
                <w:rFonts w:ascii="Arial" w:hAnsi="Arial" w:cs="Arial"/>
                <w:b/>
                <w:sz w:val="21"/>
                <w:szCs w:val="21"/>
              </w:rPr>
            </w:pPr>
            <w:r>
              <w:rPr>
                <w:rFonts w:ascii="Arial" w:hAnsi="Arial" w:cs="Arial"/>
                <w:b/>
                <w:sz w:val="21"/>
                <w:szCs w:val="21"/>
              </w:rPr>
              <w:t>3</w:t>
            </w:r>
            <w:r w:rsidR="00331D57">
              <w:rPr>
                <w:rFonts w:ascii="Arial" w:hAnsi="Arial" w:cs="Arial"/>
                <w:b/>
                <w:sz w:val="21"/>
                <w:szCs w:val="21"/>
              </w:rPr>
              <w:t>,</w:t>
            </w:r>
            <w:r>
              <w:rPr>
                <w:rFonts w:ascii="Arial" w:hAnsi="Arial" w:cs="Arial"/>
                <w:b/>
                <w:sz w:val="21"/>
                <w:szCs w:val="21"/>
              </w:rPr>
              <w:t>108</w:t>
            </w:r>
            <w:r w:rsidR="00331D57">
              <w:rPr>
                <w:rFonts w:ascii="Arial" w:hAnsi="Arial" w:cs="Arial"/>
                <w:b/>
                <w:sz w:val="21"/>
                <w:szCs w:val="21"/>
              </w:rPr>
              <w:t>,</w:t>
            </w:r>
            <w:r>
              <w:rPr>
                <w:rFonts w:ascii="Arial" w:hAnsi="Arial" w:cs="Arial"/>
                <w:b/>
                <w:sz w:val="21"/>
                <w:szCs w:val="21"/>
              </w:rPr>
              <w:t>655.20</w:t>
            </w:r>
          </w:p>
        </w:tc>
      </w:tr>
    </w:tbl>
    <w:p w:rsidR="001C415F" w:rsidRDefault="001C415F" w:rsidP="004774AE">
      <w:pPr>
        <w:rPr>
          <w:rFonts w:ascii="Arial" w:hAnsi="Arial" w:cs="Arial"/>
          <w:sz w:val="21"/>
          <w:szCs w:val="21"/>
        </w:rPr>
      </w:pPr>
    </w:p>
    <w:p w:rsidR="009C099C" w:rsidRPr="004774AE" w:rsidRDefault="009C099C" w:rsidP="004774AE">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lastRenderedPageBreak/>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 adjudicación o dación en pago, aún 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8D0FD3" w:rsidP="00907ACF">
            <w:pPr>
              <w:jc w:val="right"/>
              <w:rPr>
                <w:rFonts w:ascii="Arial" w:hAnsi="Arial" w:cs="Arial"/>
                <w:sz w:val="21"/>
                <w:szCs w:val="21"/>
              </w:rPr>
            </w:pPr>
            <w:r>
              <w:rPr>
                <w:rFonts w:ascii="Arial" w:hAnsi="Arial" w:cs="Arial"/>
                <w:sz w:val="21"/>
                <w:szCs w:val="21"/>
              </w:rPr>
              <w:t>15,</w:t>
            </w:r>
            <w:r w:rsidR="00907ACF">
              <w:rPr>
                <w:rFonts w:ascii="Arial" w:hAnsi="Arial" w:cs="Arial"/>
                <w:sz w:val="21"/>
                <w:szCs w:val="21"/>
              </w:rPr>
              <w:t>869</w:t>
            </w:r>
            <w:r>
              <w:rPr>
                <w:rFonts w:ascii="Arial" w:hAnsi="Arial" w:cs="Arial"/>
                <w:sz w:val="21"/>
                <w:szCs w:val="21"/>
              </w:rPr>
              <w:t>,</w:t>
            </w:r>
            <w:r w:rsidR="00907ACF">
              <w:rPr>
                <w:rFonts w:ascii="Arial" w:hAnsi="Arial" w:cs="Arial"/>
                <w:sz w:val="21"/>
                <w:szCs w:val="21"/>
              </w:rPr>
              <w:t>910</w:t>
            </w:r>
            <w:r>
              <w:rPr>
                <w:rFonts w:ascii="Arial" w:hAnsi="Arial" w:cs="Arial"/>
                <w:sz w:val="21"/>
                <w:szCs w:val="21"/>
              </w:rPr>
              <w:t>.35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6,100,699.28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2,923,944.14</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r w:rsidR="000864F6" w:rsidRPr="00703FC6" w:rsidTr="00863238">
        <w:tc>
          <w:tcPr>
            <w:tcW w:w="4503" w:type="dxa"/>
            <w:vAlign w:val="center"/>
          </w:tcPr>
          <w:p w:rsidR="000864F6" w:rsidRPr="00703FC6" w:rsidRDefault="00863238" w:rsidP="00BD3E07">
            <w:pPr>
              <w:jc w:val="left"/>
              <w:rPr>
                <w:rFonts w:ascii="Arial" w:hAnsi="Arial" w:cs="Arial"/>
                <w:sz w:val="21"/>
                <w:szCs w:val="21"/>
              </w:rPr>
            </w:pPr>
            <w:r w:rsidRPr="00703FC6">
              <w:rPr>
                <w:rFonts w:ascii="Arial" w:hAnsi="Arial" w:cs="Arial"/>
                <w:sz w:val="21"/>
                <w:szCs w:val="21"/>
              </w:rPr>
              <w:t>Suma</w:t>
            </w:r>
          </w:p>
        </w:tc>
        <w:tc>
          <w:tcPr>
            <w:tcW w:w="3251" w:type="dxa"/>
            <w:vAlign w:val="center"/>
          </w:tcPr>
          <w:p w:rsidR="000864F6" w:rsidRPr="008D0FD3" w:rsidRDefault="00F15881" w:rsidP="00E815A6">
            <w:pPr>
              <w:jc w:val="right"/>
              <w:rPr>
                <w:rFonts w:ascii="Arial" w:hAnsi="Arial" w:cs="Arial"/>
                <w:b/>
                <w:sz w:val="21"/>
                <w:szCs w:val="21"/>
              </w:rPr>
            </w:pPr>
            <w:r w:rsidRPr="008D0FD3">
              <w:rPr>
                <w:rFonts w:ascii="Arial" w:hAnsi="Arial" w:cs="Arial"/>
                <w:b/>
                <w:sz w:val="21"/>
                <w:szCs w:val="21"/>
              </w:rPr>
              <w:fldChar w:fldCharType="begin"/>
            </w:r>
            <w:r w:rsidR="008D0FD3" w:rsidRPr="008D0FD3">
              <w:rPr>
                <w:rFonts w:ascii="Arial" w:hAnsi="Arial" w:cs="Arial"/>
                <w:b/>
                <w:sz w:val="21"/>
                <w:szCs w:val="21"/>
              </w:rPr>
              <w:instrText xml:space="preserve"> =SUM(ABOVE) </w:instrText>
            </w:r>
            <w:r w:rsidRPr="008D0FD3">
              <w:rPr>
                <w:rFonts w:ascii="Arial" w:hAnsi="Arial" w:cs="Arial"/>
                <w:b/>
                <w:sz w:val="21"/>
                <w:szCs w:val="21"/>
              </w:rPr>
              <w:fldChar w:fldCharType="separate"/>
            </w:r>
            <w:r w:rsidR="008D0FD3" w:rsidRPr="008D0FD3">
              <w:rPr>
                <w:rFonts w:ascii="Arial" w:hAnsi="Arial" w:cs="Arial"/>
                <w:b/>
                <w:noProof/>
                <w:sz w:val="21"/>
                <w:szCs w:val="21"/>
              </w:rPr>
              <w:t>24,</w:t>
            </w:r>
            <w:r w:rsidR="00E815A6">
              <w:rPr>
                <w:rFonts w:ascii="Arial" w:hAnsi="Arial" w:cs="Arial"/>
                <w:b/>
                <w:noProof/>
                <w:sz w:val="21"/>
                <w:szCs w:val="21"/>
              </w:rPr>
              <w:t>911</w:t>
            </w:r>
            <w:r w:rsidR="008D0FD3" w:rsidRPr="008D0FD3">
              <w:rPr>
                <w:rFonts w:ascii="Arial" w:hAnsi="Arial" w:cs="Arial"/>
                <w:b/>
                <w:noProof/>
                <w:sz w:val="21"/>
                <w:szCs w:val="21"/>
              </w:rPr>
              <w:t>,</w:t>
            </w:r>
            <w:r w:rsidR="00E815A6">
              <w:rPr>
                <w:rFonts w:ascii="Arial" w:hAnsi="Arial" w:cs="Arial"/>
                <w:b/>
                <w:noProof/>
                <w:sz w:val="21"/>
                <w:szCs w:val="21"/>
              </w:rPr>
              <w:t>0</w:t>
            </w:r>
            <w:r w:rsidR="008D0FD3" w:rsidRPr="008D0FD3">
              <w:rPr>
                <w:rFonts w:ascii="Arial" w:hAnsi="Arial" w:cs="Arial"/>
                <w:b/>
                <w:noProof/>
                <w:sz w:val="21"/>
                <w:szCs w:val="21"/>
              </w:rPr>
              <w:t>53.77</w:t>
            </w:r>
            <w:r w:rsidRPr="008D0FD3">
              <w:rPr>
                <w:rFonts w:ascii="Arial" w:hAnsi="Arial" w:cs="Arial"/>
                <w:b/>
                <w:sz w:val="21"/>
                <w:szCs w:val="21"/>
              </w:rPr>
              <w:fldChar w:fldCharType="end"/>
            </w:r>
          </w:p>
        </w:tc>
      </w:tr>
      <w:tr w:rsidR="009C099C" w:rsidRPr="00703FC6" w:rsidTr="00863238">
        <w:tc>
          <w:tcPr>
            <w:tcW w:w="4503" w:type="dxa"/>
            <w:vAlign w:val="center"/>
          </w:tcPr>
          <w:p w:rsidR="009C099C" w:rsidRPr="00703FC6" w:rsidRDefault="009C099C" w:rsidP="00BD3E07">
            <w:pPr>
              <w:jc w:val="left"/>
              <w:rPr>
                <w:rFonts w:ascii="Arial" w:hAnsi="Arial" w:cs="Arial"/>
                <w:sz w:val="21"/>
                <w:szCs w:val="21"/>
              </w:rPr>
            </w:pPr>
          </w:p>
        </w:tc>
        <w:tc>
          <w:tcPr>
            <w:tcW w:w="3251" w:type="dxa"/>
            <w:vAlign w:val="center"/>
          </w:tcPr>
          <w:p w:rsidR="009C099C" w:rsidRPr="008D0FD3" w:rsidRDefault="009C099C" w:rsidP="00E815A6">
            <w:pPr>
              <w:jc w:val="right"/>
              <w:rPr>
                <w:rFonts w:ascii="Arial" w:hAnsi="Arial" w:cs="Arial"/>
                <w:b/>
                <w:sz w:val="21"/>
                <w:szCs w:val="21"/>
              </w:rPr>
            </w:pP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F76C48">
        <w:rPr>
          <w:rFonts w:ascii="Arial" w:hAnsi="Arial" w:cs="Arial"/>
          <w:sz w:val="21"/>
          <w:szCs w:val="21"/>
        </w:rPr>
        <w:t>5</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3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sz w:val="21"/>
          <w:szCs w:val="21"/>
        </w:rPr>
      </w:pPr>
      <w:r w:rsidRPr="00703FC6">
        <w:rPr>
          <w:rFonts w:ascii="Arial" w:hAnsi="Arial" w:cs="Arial"/>
          <w:sz w:val="21"/>
          <w:szCs w:val="21"/>
        </w:rPr>
        <w:t xml:space="preserve">El saldo de la depreciación acumulada al </w:t>
      </w:r>
      <w:r w:rsidR="006E33CC">
        <w:rPr>
          <w:rFonts w:ascii="Arial" w:hAnsi="Arial" w:cs="Arial"/>
          <w:sz w:val="21"/>
          <w:szCs w:val="21"/>
        </w:rPr>
        <w:t>3</w:t>
      </w:r>
      <w:r w:rsidR="001D3DBF">
        <w:rPr>
          <w:rFonts w:ascii="Arial" w:hAnsi="Arial" w:cs="Arial"/>
          <w:sz w:val="21"/>
          <w:szCs w:val="21"/>
        </w:rPr>
        <w:t>0</w:t>
      </w:r>
      <w:r w:rsidR="006E33CC">
        <w:rPr>
          <w:rFonts w:ascii="Arial" w:hAnsi="Arial" w:cs="Arial"/>
          <w:sz w:val="21"/>
          <w:szCs w:val="21"/>
        </w:rPr>
        <w:t xml:space="preserve"> de </w:t>
      </w:r>
      <w:r w:rsidR="001D3DBF">
        <w:rPr>
          <w:rFonts w:ascii="Arial" w:hAnsi="Arial" w:cs="Arial"/>
          <w:sz w:val="21"/>
          <w:szCs w:val="21"/>
        </w:rPr>
        <w:t>junio</w:t>
      </w:r>
      <w:r w:rsidR="006E33CC">
        <w:rPr>
          <w:rFonts w:ascii="Arial" w:hAnsi="Arial" w:cs="Arial"/>
          <w:sz w:val="21"/>
          <w:szCs w:val="21"/>
        </w:rPr>
        <w:t xml:space="preserve"> de </w:t>
      </w:r>
      <w:r w:rsidRPr="00703FC6">
        <w:rPr>
          <w:rFonts w:ascii="Arial" w:hAnsi="Arial" w:cs="Arial"/>
          <w:sz w:val="21"/>
          <w:szCs w:val="21"/>
        </w:rPr>
        <w:t>201</w:t>
      </w:r>
      <w:r w:rsidR="008E1555">
        <w:rPr>
          <w:rFonts w:ascii="Arial" w:hAnsi="Arial" w:cs="Arial"/>
          <w:sz w:val="21"/>
          <w:szCs w:val="21"/>
        </w:rPr>
        <w:t>5</w:t>
      </w:r>
      <w:r w:rsidRPr="00703FC6">
        <w:rPr>
          <w:rFonts w:ascii="Arial" w:hAnsi="Arial" w:cs="Arial"/>
          <w:sz w:val="21"/>
          <w:szCs w:val="21"/>
        </w:rPr>
        <w:t xml:space="preserve"> es de $</w:t>
      </w:r>
      <w:r w:rsidR="00B5136F">
        <w:rPr>
          <w:rFonts w:ascii="Arial" w:hAnsi="Arial" w:cs="Arial"/>
          <w:sz w:val="21"/>
          <w:szCs w:val="21"/>
        </w:rPr>
        <w:t>-</w:t>
      </w:r>
      <w:r w:rsidR="006E33CC">
        <w:rPr>
          <w:rFonts w:ascii="Arial" w:hAnsi="Arial" w:cs="Arial"/>
          <w:sz w:val="21"/>
          <w:szCs w:val="21"/>
        </w:rPr>
        <w:t>12</w:t>
      </w:r>
      <w:proofErr w:type="gramStart"/>
      <w:r w:rsidR="00A62E65">
        <w:rPr>
          <w:rFonts w:ascii="Arial" w:hAnsi="Arial" w:cs="Arial"/>
          <w:sz w:val="21"/>
          <w:szCs w:val="21"/>
        </w:rPr>
        <w:t>,652,413.51</w:t>
      </w:r>
      <w:proofErr w:type="gramEnd"/>
      <w:r w:rsidR="00691195">
        <w:rPr>
          <w:rFonts w:ascii="Arial" w:hAnsi="Arial" w:cs="Arial"/>
          <w:sz w:val="21"/>
          <w:szCs w:val="21"/>
        </w:rPr>
        <w:t>.</w:t>
      </w: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t>Otros Activos Diferidos</w:t>
      </w:r>
    </w:p>
    <w:p w:rsidR="00393F3C" w:rsidRDefault="00703FC6" w:rsidP="00393F3C">
      <w:pPr>
        <w:rPr>
          <w:rFonts w:ascii="Arial" w:hAnsi="Arial" w:cs="Arial"/>
          <w:sz w:val="21"/>
          <w:szCs w:val="21"/>
        </w:rPr>
      </w:pPr>
      <w:r>
        <w:rPr>
          <w:rFonts w:ascii="Arial" w:hAnsi="Arial" w:cs="Arial"/>
          <w:sz w:val="21"/>
          <w:szCs w:val="21"/>
        </w:rPr>
        <w:t>El saldo de este rubro por $ 1</w:t>
      </w:r>
      <w:r w:rsidR="00A62E65">
        <w:rPr>
          <w:rFonts w:ascii="Arial" w:hAnsi="Arial" w:cs="Arial"/>
          <w:sz w:val="21"/>
          <w:szCs w:val="21"/>
        </w:rPr>
        <w:t>7</w:t>
      </w:r>
      <w:r>
        <w:rPr>
          <w:rFonts w:ascii="Arial" w:hAnsi="Arial" w:cs="Arial"/>
          <w:sz w:val="21"/>
          <w:szCs w:val="21"/>
        </w:rPr>
        <w:t>1,</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9C099C" w:rsidRDefault="009C099C" w:rsidP="00112501">
      <w:pPr>
        <w:rPr>
          <w:rFonts w:ascii="Arial" w:hAnsi="Arial" w:cs="Arial"/>
          <w:sz w:val="21"/>
          <w:szCs w:val="21"/>
          <w:u w:val="single"/>
        </w:rPr>
      </w:pP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p>
    <w:p w:rsidR="00D7642D" w:rsidRPr="004D11EC" w:rsidRDefault="007E46E9" w:rsidP="007E46E9">
      <w:pPr>
        <w:pStyle w:val="Prrafodelista"/>
        <w:numPr>
          <w:ilvl w:val="0"/>
          <w:numId w:val="4"/>
        </w:numPr>
        <w:rPr>
          <w:rFonts w:ascii="Arial" w:hAnsi="Arial" w:cs="Arial"/>
          <w:sz w:val="21"/>
          <w:szCs w:val="21"/>
        </w:rPr>
      </w:pPr>
      <w:r w:rsidRPr="004D11EC">
        <w:rPr>
          <w:rFonts w:ascii="Arial" w:hAnsi="Arial" w:cs="Arial"/>
          <w:sz w:val="21"/>
          <w:szCs w:val="21"/>
        </w:rPr>
        <w:t>Cuentas por Pagar a Corto Plazo</w:t>
      </w:r>
    </w:p>
    <w:p w:rsidR="007E46E9" w:rsidRPr="004D11EC" w:rsidRDefault="007E46E9" w:rsidP="007E46E9">
      <w:pPr>
        <w:rPr>
          <w:rFonts w:ascii="Arial" w:hAnsi="Arial" w:cs="Arial"/>
          <w:sz w:val="21"/>
          <w:szCs w:val="21"/>
        </w:rPr>
      </w:pPr>
      <w:r w:rsidRPr="004D11EC">
        <w:rPr>
          <w:rFonts w:ascii="Arial" w:hAnsi="Arial" w:cs="Arial"/>
          <w:sz w:val="21"/>
          <w:szCs w:val="21"/>
        </w:rPr>
        <w:t xml:space="preserve">Compromisos adquiridos con los proveedores y por las obligaciones a cargo del organismo con motivo de la compra de materiales e insumos, prestación de servicios provisión de impuestos por pagar </w:t>
      </w:r>
      <w:r w:rsidR="00105D38" w:rsidRPr="004D11EC">
        <w:rPr>
          <w:rFonts w:ascii="Arial" w:hAnsi="Arial" w:cs="Arial"/>
          <w:sz w:val="21"/>
          <w:szCs w:val="21"/>
        </w:rPr>
        <w:t>y retenciones derivadas de la nómina, como se detallan a continuación:</w:t>
      </w:r>
    </w:p>
    <w:p w:rsidR="00105D38" w:rsidRPr="00C3186F" w:rsidRDefault="00A3358B" w:rsidP="00A62E65">
      <w:pPr>
        <w:rPr>
          <w:rFonts w:ascii="Arial" w:hAnsi="Arial" w:cs="Arial"/>
          <w:sz w:val="21"/>
          <w:szCs w:val="21"/>
        </w:rPr>
      </w:pPr>
      <w:r w:rsidRPr="00C3186F">
        <w:rPr>
          <w:rFonts w:ascii="Arial" w:hAnsi="Arial" w:cs="Arial"/>
          <w:sz w:val="21"/>
          <w:szCs w:val="21"/>
        </w:rPr>
        <w:t>Proveedores</w:t>
      </w:r>
      <w:r w:rsidRPr="00C3186F">
        <w:rPr>
          <w:rFonts w:ascii="Arial" w:hAnsi="Arial" w:cs="Arial"/>
          <w:sz w:val="21"/>
          <w:szCs w:val="21"/>
        </w:rPr>
        <w:tab/>
      </w:r>
      <w:r w:rsidRPr="00C3186F">
        <w:rPr>
          <w:rFonts w:ascii="Arial" w:hAnsi="Arial" w:cs="Arial"/>
          <w:sz w:val="21"/>
          <w:szCs w:val="21"/>
        </w:rPr>
        <w:tab/>
      </w:r>
      <w:r w:rsidRPr="00C3186F">
        <w:rPr>
          <w:rFonts w:ascii="Arial" w:hAnsi="Arial" w:cs="Arial"/>
          <w:sz w:val="21"/>
          <w:szCs w:val="21"/>
        </w:rPr>
        <w:tab/>
        <w:t>$</w:t>
      </w:r>
      <w:r w:rsidR="00A62E65">
        <w:rPr>
          <w:rFonts w:ascii="Arial" w:hAnsi="Arial" w:cs="Arial"/>
          <w:sz w:val="21"/>
          <w:szCs w:val="21"/>
        </w:rPr>
        <w:t xml:space="preserve"> 207,591.27</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375"/>
        <w:gridCol w:w="2693"/>
      </w:tblGrid>
      <w:tr w:rsidR="00AE54A9" w:rsidRPr="000609D3" w:rsidTr="00E80521">
        <w:tc>
          <w:tcPr>
            <w:tcW w:w="3112" w:type="dxa"/>
            <w:vAlign w:val="center"/>
          </w:tcPr>
          <w:p w:rsidR="001C24C4" w:rsidRDefault="001C24C4" w:rsidP="00BD3E07">
            <w:pPr>
              <w:jc w:val="center"/>
              <w:rPr>
                <w:rFonts w:ascii="Arial" w:hAnsi="Arial" w:cs="Arial"/>
                <w:b/>
                <w:sz w:val="21"/>
                <w:szCs w:val="21"/>
              </w:rPr>
            </w:pPr>
          </w:p>
          <w:p w:rsidR="00AE54A9" w:rsidRPr="00A177F5" w:rsidRDefault="00AE54A9" w:rsidP="00BD3E07">
            <w:pPr>
              <w:jc w:val="center"/>
              <w:rPr>
                <w:rFonts w:ascii="Arial" w:hAnsi="Arial" w:cs="Arial"/>
                <w:b/>
                <w:sz w:val="21"/>
                <w:szCs w:val="21"/>
              </w:rPr>
            </w:pPr>
            <w:r w:rsidRPr="00A177F5">
              <w:rPr>
                <w:rFonts w:ascii="Arial" w:hAnsi="Arial" w:cs="Arial"/>
                <w:b/>
                <w:sz w:val="21"/>
                <w:szCs w:val="21"/>
              </w:rPr>
              <w:t>Cuenta</w:t>
            </w:r>
          </w:p>
        </w:tc>
        <w:tc>
          <w:tcPr>
            <w:tcW w:w="3375" w:type="dxa"/>
          </w:tcPr>
          <w:p w:rsidR="001C24C4" w:rsidRDefault="001C24C4" w:rsidP="00BD3E07">
            <w:pPr>
              <w:jc w:val="center"/>
              <w:rPr>
                <w:rFonts w:ascii="Arial" w:hAnsi="Arial" w:cs="Arial"/>
                <w:b/>
                <w:sz w:val="21"/>
                <w:szCs w:val="21"/>
              </w:rPr>
            </w:pPr>
          </w:p>
          <w:p w:rsidR="00AE54A9" w:rsidRPr="00A177F5" w:rsidRDefault="00AE54A9" w:rsidP="00BD3E07">
            <w:pPr>
              <w:jc w:val="center"/>
              <w:rPr>
                <w:rFonts w:ascii="Arial" w:hAnsi="Arial" w:cs="Arial"/>
                <w:b/>
                <w:sz w:val="21"/>
                <w:szCs w:val="21"/>
              </w:rPr>
            </w:pPr>
            <w:r w:rsidRPr="00A177F5">
              <w:rPr>
                <w:rFonts w:ascii="Arial" w:hAnsi="Arial" w:cs="Arial"/>
                <w:b/>
                <w:sz w:val="21"/>
                <w:szCs w:val="21"/>
              </w:rPr>
              <w:t>Concepto</w:t>
            </w:r>
          </w:p>
        </w:tc>
        <w:tc>
          <w:tcPr>
            <w:tcW w:w="2693" w:type="dxa"/>
            <w:vAlign w:val="center"/>
          </w:tcPr>
          <w:p w:rsidR="001C24C4" w:rsidRDefault="001C24C4" w:rsidP="00BD3E07">
            <w:pPr>
              <w:jc w:val="center"/>
              <w:rPr>
                <w:rFonts w:ascii="Arial" w:hAnsi="Arial" w:cs="Arial"/>
                <w:b/>
                <w:sz w:val="21"/>
                <w:szCs w:val="21"/>
              </w:rPr>
            </w:pPr>
          </w:p>
          <w:p w:rsidR="00AE54A9" w:rsidRPr="00A177F5" w:rsidRDefault="001C24C4" w:rsidP="001C24C4">
            <w:pPr>
              <w:rPr>
                <w:rFonts w:ascii="Arial" w:hAnsi="Arial" w:cs="Arial"/>
                <w:b/>
                <w:sz w:val="21"/>
                <w:szCs w:val="21"/>
              </w:rPr>
            </w:pPr>
            <w:r>
              <w:rPr>
                <w:rFonts w:ascii="Arial" w:hAnsi="Arial" w:cs="Arial"/>
                <w:b/>
                <w:sz w:val="21"/>
                <w:szCs w:val="21"/>
              </w:rPr>
              <w:t xml:space="preserve">            </w:t>
            </w:r>
            <w:r w:rsidR="00AE54A9" w:rsidRPr="00A177F5">
              <w:rPr>
                <w:rFonts w:ascii="Arial" w:hAnsi="Arial" w:cs="Arial"/>
                <w:b/>
                <w:sz w:val="21"/>
                <w:szCs w:val="21"/>
              </w:rPr>
              <w:t>Importe</w:t>
            </w:r>
          </w:p>
        </w:tc>
      </w:tr>
      <w:tr w:rsidR="000E2768" w:rsidTr="000E2768">
        <w:tc>
          <w:tcPr>
            <w:tcW w:w="3112" w:type="dxa"/>
            <w:vAlign w:val="center"/>
          </w:tcPr>
          <w:p w:rsidR="008E7B90" w:rsidRDefault="008E7B90" w:rsidP="000E2768">
            <w:pPr>
              <w:jc w:val="left"/>
              <w:rPr>
                <w:rFonts w:ascii="Arial" w:hAnsi="Arial" w:cs="Arial"/>
                <w:sz w:val="21"/>
                <w:szCs w:val="21"/>
              </w:rPr>
            </w:pPr>
          </w:p>
          <w:p w:rsidR="000E2768" w:rsidRDefault="000E2768" w:rsidP="000E2768">
            <w:pPr>
              <w:jc w:val="left"/>
              <w:rPr>
                <w:rFonts w:ascii="Arial" w:hAnsi="Arial" w:cs="Arial"/>
                <w:sz w:val="21"/>
                <w:szCs w:val="21"/>
              </w:rPr>
            </w:pPr>
            <w:r>
              <w:rPr>
                <w:rFonts w:ascii="Arial" w:hAnsi="Arial" w:cs="Arial"/>
                <w:sz w:val="21"/>
                <w:szCs w:val="21"/>
              </w:rPr>
              <w:t xml:space="preserve">Cuerpo de Guardias de </w:t>
            </w:r>
            <w:r w:rsidR="008E7B90">
              <w:rPr>
                <w:rFonts w:ascii="Arial" w:hAnsi="Arial" w:cs="Arial"/>
                <w:sz w:val="21"/>
                <w:szCs w:val="21"/>
              </w:rPr>
              <w:t>S</w:t>
            </w:r>
            <w:r>
              <w:rPr>
                <w:rFonts w:ascii="Arial" w:hAnsi="Arial" w:cs="Arial"/>
                <w:sz w:val="21"/>
                <w:szCs w:val="21"/>
              </w:rPr>
              <w:t>eguridad</w:t>
            </w:r>
          </w:p>
          <w:p w:rsidR="008E7B90" w:rsidRDefault="008E7B90" w:rsidP="000E2768">
            <w:pPr>
              <w:jc w:val="left"/>
              <w:rPr>
                <w:rFonts w:ascii="Arial" w:hAnsi="Arial" w:cs="Arial"/>
                <w:sz w:val="21"/>
                <w:szCs w:val="21"/>
              </w:rPr>
            </w:pPr>
            <w:proofErr w:type="spellStart"/>
            <w:r>
              <w:rPr>
                <w:rFonts w:ascii="Arial" w:hAnsi="Arial" w:cs="Arial"/>
                <w:sz w:val="21"/>
                <w:szCs w:val="21"/>
              </w:rPr>
              <w:t>Cia</w:t>
            </w:r>
            <w:proofErr w:type="spellEnd"/>
            <w:r>
              <w:rPr>
                <w:rFonts w:ascii="Arial" w:hAnsi="Arial" w:cs="Arial"/>
                <w:sz w:val="21"/>
                <w:szCs w:val="21"/>
              </w:rPr>
              <w:t>. Periodística del Sol del Edo. De México S.A. de C.V.</w:t>
            </w:r>
          </w:p>
        </w:tc>
        <w:tc>
          <w:tcPr>
            <w:tcW w:w="3375" w:type="dxa"/>
            <w:vAlign w:val="center"/>
          </w:tcPr>
          <w:p w:rsidR="008E7B90" w:rsidRDefault="008E7B90" w:rsidP="000E2768">
            <w:pPr>
              <w:rPr>
                <w:rFonts w:ascii="Arial" w:hAnsi="Arial" w:cs="Arial"/>
                <w:sz w:val="21"/>
                <w:szCs w:val="21"/>
              </w:rPr>
            </w:pPr>
          </w:p>
          <w:p w:rsidR="008E7B90" w:rsidRDefault="008E7B90" w:rsidP="000E2768">
            <w:pPr>
              <w:rPr>
                <w:rFonts w:ascii="Arial" w:hAnsi="Arial" w:cs="Arial"/>
                <w:sz w:val="21"/>
                <w:szCs w:val="21"/>
              </w:rPr>
            </w:pPr>
            <w:r>
              <w:rPr>
                <w:rFonts w:ascii="Arial" w:hAnsi="Arial" w:cs="Arial"/>
                <w:sz w:val="21"/>
                <w:szCs w:val="21"/>
              </w:rPr>
              <w:t>Servicio de Vigilancia</w:t>
            </w:r>
          </w:p>
          <w:p w:rsidR="000E2768" w:rsidRDefault="008E7B90" w:rsidP="008E7B90">
            <w:pPr>
              <w:rPr>
                <w:rFonts w:ascii="Arial" w:hAnsi="Arial" w:cs="Arial"/>
                <w:sz w:val="21"/>
                <w:szCs w:val="21"/>
              </w:rPr>
            </w:pPr>
            <w:r>
              <w:rPr>
                <w:rFonts w:ascii="Arial" w:hAnsi="Arial" w:cs="Arial"/>
                <w:sz w:val="21"/>
                <w:szCs w:val="21"/>
              </w:rPr>
              <w:t>Cuotas y Suscripciones</w:t>
            </w:r>
            <w:r w:rsidR="000E2768">
              <w:rPr>
                <w:rFonts w:ascii="Arial" w:hAnsi="Arial" w:cs="Arial"/>
                <w:sz w:val="21"/>
                <w:szCs w:val="21"/>
              </w:rPr>
              <w:t xml:space="preserve"> </w:t>
            </w:r>
          </w:p>
        </w:tc>
        <w:tc>
          <w:tcPr>
            <w:tcW w:w="2693" w:type="dxa"/>
            <w:vAlign w:val="center"/>
          </w:tcPr>
          <w:p w:rsidR="008E7B90" w:rsidRDefault="008E7B90" w:rsidP="000E2768">
            <w:pPr>
              <w:jc w:val="right"/>
              <w:rPr>
                <w:rFonts w:ascii="Arial" w:hAnsi="Arial" w:cs="Arial"/>
                <w:sz w:val="21"/>
                <w:szCs w:val="21"/>
              </w:rPr>
            </w:pPr>
          </w:p>
          <w:p w:rsidR="000E2768" w:rsidRDefault="000E2768" w:rsidP="000E2768">
            <w:pPr>
              <w:jc w:val="right"/>
              <w:rPr>
                <w:rFonts w:ascii="Arial" w:hAnsi="Arial" w:cs="Arial"/>
                <w:sz w:val="21"/>
                <w:szCs w:val="21"/>
              </w:rPr>
            </w:pPr>
            <w:r>
              <w:rPr>
                <w:rFonts w:ascii="Arial" w:hAnsi="Arial" w:cs="Arial"/>
                <w:sz w:val="21"/>
                <w:szCs w:val="21"/>
              </w:rPr>
              <w:t>98,805.12</w:t>
            </w:r>
          </w:p>
          <w:p w:rsidR="008E7B90" w:rsidRDefault="008E7B90" w:rsidP="000E2768">
            <w:pPr>
              <w:jc w:val="right"/>
              <w:rPr>
                <w:rFonts w:ascii="Arial" w:hAnsi="Arial" w:cs="Arial"/>
                <w:sz w:val="21"/>
                <w:szCs w:val="21"/>
              </w:rPr>
            </w:pPr>
            <w:r>
              <w:rPr>
                <w:rFonts w:ascii="Arial" w:hAnsi="Arial" w:cs="Arial"/>
                <w:sz w:val="21"/>
                <w:szCs w:val="21"/>
              </w:rPr>
              <w:t>1,700.00</w:t>
            </w:r>
          </w:p>
        </w:tc>
      </w:tr>
      <w:tr w:rsidR="000E2768" w:rsidTr="000E2768">
        <w:tc>
          <w:tcPr>
            <w:tcW w:w="3112" w:type="dxa"/>
            <w:vAlign w:val="center"/>
          </w:tcPr>
          <w:p w:rsidR="000E2768" w:rsidRDefault="000E2768" w:rsidP="000E2768">
            <w:pPr>
              <w:jc w:val="left"/>
              <w:rPr>
                <w:rFonts w:ascii="Arial" w:hAnsi="Arial" w:cs="Arial"/>
                <w:sz w:val="21"/>
                <w:szCs w:val="21"/>
              </w:rPr>
            </w:pPr>
            <w:proofErr w:type="spellStart"/>
            <w:r>
              <w:rPr>
                <w:rFonts w:ascii="Arial" w:hAnsi="Arial" w:cs="Arial"/>
                <w:sz w:val="21"/>
                <w:szCs w:val="21"/>
              </w:rPr>
              <w:t>RodrÍguez</w:t>
            </w:r>
            <w:proofErr w:type="spellEnd"/>
            <w:r>
              <w:rPr>
                <w:rFonts w:ascii="Arial" w:hAnsi="Arial" w:cs="Arial"/>
                <w:sz w:val="21"/>
                <w:szCs w:val="21"/>
              </w:rPr>
              <w:t xml:space="preserve"> Vázquez S.C.</w:t>
            </w:r>
          </w:p>
        </w:tc>
        <w:tc>
          <w:tcPr>
            <w:tcW w:w="3375" w:type="dxa"/>
            <w:vAlign w:val="center"/>
          </w:tcPr>
          <w:p w:rsidR="000E2768" w:rsidRDefault="000E2768" w:rsidP="000E2768">
            <w:pPr>
              <w:rPr>
                <w:rFonts w:ascii="Arial" w:hAnsi="Arial" w:cs="Arial"/>
                <w:sz w:val="21"/>
                <w:szCs w:val="21"/>
              </w:rPr>
            </w:pPr>
            <w:r>
              <w:rPr>
                <w:rFonts w:ascii="Arial" w:hAnsi="Arial" w:cs="Arial"/>
                <w:sz w:val="21"/>
                <w:szCs w:val="21"/>
              </w:rPr>
              <w:t>Servicios de Auditoría</w:t>
            </w:r>
          </w:p>
        </w:tc>
        <w:tc>
          <w:tcPr>
            <w:tcW w:w="2693" w:type="dxa"/>
            <w:vAlign w:val="center"/>
          </w:tcPr>
          <w:p w:rsidR="000E2768" w:rsidRDefault="000E2768" w:rsidP="000E2768">
            <w:pPr>
              <w:jc w:val="right"/>
              <w:rPr>
                <w:rFonts w:ascii="Arial" w:hAnsi="Arial" w:cs="Arial"/>
                <w:sz w:val="21"/>
                <w:szCs w:val="21"/>
              </w:rPr>
            </w:pPr>
            <w:r>
              <w:rPr>
                <w:rFonts w:ascii="Arial" w:hAnsi="Arial" w:cs="Arial"/>
                <w:sz w:val="21"/>
                <w:szCs w:val="21"/>
              </w:rPr>
              <w:t>20,415.72</w:t>
            </w:r>
          </w:p>
        </w:tc>
      </w:tr>
      <w:tr w:rsidR="000E2768" w:rsidTr="000E2768">
        <w:tc>
          <w:tcPr>
            <w:tcW w:w="3112" w:type="dxa"/>
            <w:vAlign w:val="center"/>
          </w:tcPr>
          <w:p w:rsidR="000E2768" w:rsidRDefault="000E2768" w:rsidP="000E2768">
            <w:pPr>
              <w:jc w:val="left"/>
              <w:rPr>
                <w:rFonts w:ascii="Arial" w:hAnsi="Arial" w:cs="Arial"/>
                <w:sz w:val="21"/>
                <w:szCs w:val="21"/>
              </w:rPr>
            </w:pPr>
            <w:r>
              <w:rPr>
                <w:rFonts w:ascii="Arial" w:hAnsi="Arial" w:cs="Arial"/>
                <w:sz w:val="21"/>
                <w:szCs w:val="21"/>
              </w:rPr>
              <w:t>INTERGSERP, S.A. DE C.V.</w:t>
            </w:r>
          </w:p>
        </w:tc>
        <w:tc>
          <w:tcPr>
            <w:tcW w:w="3375" w:type="dxa"/>
            <w:vAlign w:val="center"/>
          </w:tcPr>
          <w:p w:rsidR="000E2768" w:rsidRDefault="000E2768" w:rsidP="000E2768">
            <w:pPr>
              <w:rPr>
                <w:rFonts w:ascii="Arial" w:hAnsi="Arial" w:cs="Arial"/>
                <w:sz w:val="21"/>
                <w:szCs w:val="21"/>
              </w:rPr>
            </w:pPr>
            <w:r>
              <w:rPr>
                <w:rFonts w:ascii="Arial" w:hAnsi="Arial" w:cs="Arial"/>
                <w:sz w:val="21"/>
                <w:szCs w:val="21"/>
              </w:rPr>
              <w:t>Servicios de Lavan., Limpieza, Higiene</w:t>
            </w:r>
          </w:p>
        </w:tc>
        <w:tc>
          <w:tcPr>
            <w:tcW w:w="2693" w:type="dxa"/>
            <w:vAlign w:val="center"/>
          </w:tcPr>
          <w:p w:rsidR="000E2768" w:rsidRDefault="000E2768" w:rsidP="000E2768">
            <w:pPr>
              <w:jc w:val="right"/>
              <w:rPr>
                <w:rFonts w:ascii="Arial" w:hAnsi="Arial" w:cs="Arial"/>
                <w:sz w:val="21"/>
                <w:szCs w:val="21"/>
              </w:rPr>
            </w:pPr>
            <w:r>
              <w:rPr>
                <w:rFonts w:ascii="Arial" w:hAnsi="Arial" w:cs="Arial"/>
                <w:sz w:val="21"/>
                <w:szCs w:val="21"/>
              </w:rPr>
              <w:t>45,200.00</w:t>
            </w:r>
          </w:p>
        </w:tc>
      </w:tr>
      <w:tr w:rsidR="000E2768" w:rsidRPr="00E80521" w:rsidTr="000E2768">
        <w:tc>
          <w:tcPr>
            <w:tcW w:w="3112" w:type="dxa"/>
            <w:vAlign w:val="center"/>
          </w:tcPr>
          <w:p w:rsidR="000E2768" w:rsidRPr="00E80521" w:rsidRDefault="000E2768" w:rsidP="000E2768">
            <w:pPr>
              <w:jc w:val="left"/>
              <w:rPr>
                <w:rFonts w:ascii="Arial" w:hAnsi="Arial" w:cs="Arial"/>
                <w:sz w:val="21"/>
                <w:szCs w:val="21"/>
              </w:rPr>
            </w:pPr>
            <w:r>
              <w:rPr>
                <w:rFonts w:ascii="Arial" w:hAnsi="Arial" w:cs="Arial"/>
                <w:sz w:val="21"/>
                <w:szCs w:val="21"/>
              </w:rPr>
              <w:t xml:space="preserve">Distribuidora </w:t>
            </w:r>
            <w:proofErr w:type="spellStart"/>
            <w:r>
              <w:rPr>
                <w:rFonts w:ascii="Arial" w:hAnsi="Arial" w:cs="Arial"/>
                <w:sz w:val="21"/>
                <w:szCs w:val="21"/>
              </w:rPr>
              <w:t>Tellez</w:t>
            </w:r>
            <w:proofErr w:type="spellEnd"/>
            <w:r>
              <w:rPr>
                <w:rFonts w:ascii="Arial" w:hAnsi="Arial" w:cs="Arial"/>
                <w:sz w:val="21"/>
                <w:szCs w:val="21"/>
              </w:rPr>
              <w:t>, S.A. de C.V.</w:t>
            </w:r>
            <w:r w:rsidRPr="00E80521">
              <w:rPr>
                <w:rFonts w:ascii="Arial" w:hAnsi="Arial" w:cs="Arial"/>
                <w:sz w:val="21"/>
                <w:szCs w:val="21"/>
              </w:rPr>
              <w:t xml:space="preserve"> </w:t>
            </w:r>
          </w:p>
        </w:tc>
        <w:tc>
          <w:tcPr>
            <w:tcW w:w="3375" w:type="dxa"/>
            <w:vAlign w:val="center"/>
          </w:tcPr>
          <w:p w:rsidR="000E2768" w:rsidRPr="00E80521" w:rsidRDefault="000E2768" w:rsidP="000E2768">
            <w:pPr>
              <w:rPr>
                <w:rFonts w:ascii="Arial" w:hAnsi="Arial" w:cs="Arial"/>
                <w:sz w:val="21"/>
                <w:szCs w:val="21"/>
              </w:rPr>
            </w:pPr>
            <w:r>
              <w:rPr>
                <w:rFonts w:ascii="Arial" w:hAnsi="Arial" w:cs="Arial"/>
                <w:sz w:val="21"/>
                <w:szCs w:val="21"/>
              </w:rPr>
              <w:t>Servicios de fotocopiado, impresión y reducción</w:t>
            </w:r>
          </w:p>
        </w:tc>
        <w:tc>
          <w:tcPr>
            <w:tcW w:w="2693" w:type="dxa"/>
            <w:vAlign w:val="center"/>
          </w:tcPr>
          <w:p w:rsidR="000E2768" w:rsidRPr="00E80521" w:rsidRDefault="000E2768" w:rsidP="000E2768">
            <w:pPr>
              <w:jc w:val="right"/>
              <w:rPr>
                <w:rFonts w:ascii="Arial" w:hAnsi="Arial" w:cs="Arial"/>
                <w:sz w:val="21"/>
                <w:szCs w:val="21"/>
              </w:rPr>
            </w:pPr>
            <w:r>
              <w:rPr>
                <w:rFonts w:ascii="Arial" w:hAnsi="Arial" w:cs="Arial"/>
                <w:sz w:val="21"/>
                <w:szCs w:val="21"/>
              </w:rPr>
              <w:t>1,570.45</w:t>
            </w:r>
          </w:p>
        </w:tc>
      </w:tr>
      <w:tr w:rsidR="000E2768" w:rsidRPr="000609D3" w:rsidTr="00E80521">
        <w:tc>
          <w:tcPr>
            <w:tcW w:w="3112" w:type="dxa"/>
            <w:vAlign w:val="center"/>
          </w:tcPr>
          <w:p w:rsidR="000E2768" w:rsidRDefault="000E2768" w:rsidP="004D11EC">
            <w:pPr>
              <w:jc w:val="left"/>
              <w:rPr>
                <w:rFonts w:ascii="Arial" w:hAnsi="Arial" w:cs="Arial"/>
                <w:sz w:val="21"/>
                <w:szCs w:val="21"/>
              </w:rPr>
            </w:pPr>
          </w:p>
        </w:tc>
        <w:tc>
          <w:tcPr>
            <w:tcW w:w="3375" w:type="dxa"/>
            <w:vAlign w:val="center"/>
          </w:tcPr>
          <w:p w:rsidR="000E2768" w:rsidRPr="00A177F5" w:rsidRDefault="000E2768" w:rsidP="00331D57">
            <w:pPr>
              <w:rPr>
                <w:rFonts w:ascii="Arial" w:hAnsi="Arial" w:cs="Arial"/>
                <w:sz w:val="21"/>
                <w:szCs w:val="21"/>
              </w:rPr>
            </w:pPr>
          </w:p>
        </w:tc>
        <w:tc>
          <w:tcPr>
            <w:tcW w:w="2693" w:type="dxa"/>
            <w:vAlign w:val="center"/>
          </w:tcPr>
          <w:p w:rsidR="000E2768" w:rsidRPr="00A177F5" w:rsidRDefault="000E2768" w:rsidP="00383FFA">
            <w:pPr>
              <w:jc w:val="right"/>
              <w:rPr>
                <w:rFonts w:ascii="Arial" w:hAnsi="Arial" w:cs="Arial"/>
                <w:sz w:val="21"/>
                <w:szCs w:val="21"/>
              </w:rPr>
            </w:pPr>
          </w:p>
        </w:tc>
      </w:tr>
      <w:tr w:rsidR="008D0FD3" w:rsidRPr="000609D3" w:rsidTr="00E80521">
        <w:tc>
          <w:tcPr>
            <w:tcW w:w="3112" w:type="dxa"/>
            <w:vAlign w:val="center"/>
          </w:tcPr>
          <w:p w:rsidR="008D0FD3" w:rsidRPr="00A177F5" w:rsidRDefault="000E2768" w:rsidP="004D11EC">
            <w:pPr>
              <w:jc w:val="left"/>
              <w:rPr>
                <w:rFonts w:ascii="Arial" w:hAnsi="Arial" w:cs="Arial"/>
                <w:sz w:val="21"/>
                <w:szCs w:val="21"/>
              </w:rPr>
            </w:pPr>
            <w:r>
              <w:rPr>
                <w:rFonts w:ascii="Arial" w:hAnsi="Arial" w:cs="Arial"/>
                <w:sz w:val="21"/>
                <w:szCs w:val="21"/>
              </w:rPr>
              <w:t>Eco Business Center, S.A. de C.V.</w:t>
            </w:r>
          </w:p>
        </w:tc>
        <w:tc>
          <w:tcPr>
            <w:tcW w:w="3375" w:type="dxa"/>
            <w:vAlign w:val="center"/>
          </w:tcPr>
          <w:p w:rsidR="008D0FD3" w:rsidRPr="00A177F5" w:rsidRDefault="000E2768" w:rsidP="00331D57">
            <w:pPr>
              <w:rPr>
                <w:rFonts w:ascii="Arial" w:hAnsi="Arial" w:cs="Arial"/>
                <w:sz w:val="21"/>
                <w:szCs w:val="21"/>
              </w:rPr>
            </w:pPr>
            <w:r>
              <w:rPr>
                <w:rFonts w:ascii="Arial" w:hAnsi="Arial" w:cs="Arial"/>
                <w:sz w:val="21"/>
                <w:szCs w:val="21"/>
              </w:rPr>
              <w:t>Servicios de Lavan., Limpieza, Higiene</w:t>
            </w:r>
          </w:p>
        </w:tc>
        <w:tc>
          <w:tcPr>
            <w:tcW w:w="2693" w:type="dxa"/>
            <w:vAlign w:val="center"/>
          </w:tcPr>
          <w:p w:rsidR="008D0FD3" w:rsidRPr="00A177F5" w:rsidRDefault="008E7B90" w:rsidP="00383FFA">
            <w:pPr>
              <w:jc w:val="right"/>
              <w:rPr>
                <w:rFonts w:ascii="Arial" w:hAnsi="Arial" w:cs="Arial"/>
                <w:sz w:val="21"/>
                <w:szCs w:val="21"/>
              </w:rPr>
            </w:pPr>
            <w:r>
              <w:rPr>
                <w:rFonts w:ascii="Arial" w:hAnsi="Arial" w:cs="Arial"/>
                <w:sz w:val="21"/>
                <w:szCs w:val="21"/>
              </w:rPr>
              <w:t>39,899.98</w:t>
            </w:r>
          </w:p>
        </w:tc>
      </w:tr>
      <w:tr w:rsidR="00383FFA" w:rsidRPr="000609D3" w:rsidTr="00E80521">
        <w:tc>
          <w:tcPr>
            <w:tcW w:w="6487" w:type="dxa"/>
            <w:gridSpan w:val="2"/>
            <w:vAlign w:val="center"/>
          </w:tcPr>
          <w:p w:rsidR="00383FFA" w:rsidRPr="00A177F5" w:rsidRDefault="00FB6B08" w:rsidP="00FB6B08">
            <w:pPr>
              <w:jc w:val="right"/>
              <w:rPr>
                <w:rFonts w:ascii="Arial" w:hAnsi="Arial" w:cs="Arial"/>
                <w:b/>
                <w:sz w:val="21"/>
                <w:szCs w:val="21"/>
              </w:rPr>
            </w:pPr>
            <w:r>
              <w:rPr>
                <w:rFonts w:ascii="Arial" w:hAnsi="Arial" w:cs="Arial"/>
                <w:b/>
                <w:sz w:val="21"/>
                <w:szCs w:val="21"/>
              </w:rPr>
              <w:t>Suma</w:t>
            </w:r>
            <w:r w:rsidR="000609D3" w:rsidRPr="00A177F5">
              <w:rPr>
                <w:rFonts w:ascii="Arial" w:hAnsi="Arial" w:cs="Arial"/>
                <w:b/>
                <w:sz w:val="21"/>
                <w:szCs w:val="21"/>
              </w:rPr>
              <w:t xml:space="preserve">                                                                                                        </w:t>
            </w:r>
          </w:p>
        </w:tc>
        <w:tc>
          <w:tcPr>
            <w:tcW w:w="2693" w:type="dxa"/>
            <w:vAlign w:val="center"/>
          </w:tcPr>
          <w:p w:rsidR="00383FFA" w:rsidRPr="00A177F5" w:rsidRDefault="00A62E65" w:rsidP="00A62E65">
            <w:pPr>
              <w:jc w:val="right"/>
              <w:rPr>
                <w:rFonts w:ascii="Arial" w:hAnsi="Arial" w:cs="Arial"/>
                <w:b/>
                <w:sz w:val="21"/>
                <w:szCs w:val="21"/>
              </w:rPr>
            </w:pPr>
            <w:r w:rsidRPr="00A177F5">
              <w:rPr>
                <w:rFonts w:ascii="Arial" w:hAnsi="Arial" w:cs="Arial"/>
                <w:b/>
                <w:sz w:val="21"/>
                <w:szCs w:val="21"/>
              </w:rPr>
              <w:t>207</w:t>
            </w:r>
            <w:r w:rsidR="00331D57" w:rsidRPr="00A177F5">
              <w:rPr>
                <w:rFonts w:ascii="Arial" w:hAnsi="Arial" w:cs="Arial"/>
                <w:b/>
                <w:sz w:val="21"/>
                <w:szCs w:val="21"/>
              </w:rPr>
              <w:t>,</w:t>
            </w:r>
            <w:r w:rsidR="00B0773D" w:rsidRPr="00A177F5">
              <w:rPr>
                <w:rFonts w:ascii="Arial" w:hAnsi="Arial" w:cs="Arial"/>
                <w:b/>
                <w:sz w:val="21"/>
                <w:szCs w:val="21"/>
              </w:rPr>
              <w:t>5</w:t>
            </w:r>
            <w:r w:rsidRPr="00A177F5">
              <w:rPr>
                <w:rFonts w:ascii="Arial" w:hAnsi="Arial" w:cs="Arial"/>
                <w:b/>
                <w:sz w:val="21"/>
                <w:szCs w:val="21"/>
              </w:rPr>
              <w:t>91</w:t>
            </w:r>
            <w:r w:rsidR="00331D57" w:rsidRPr="00A177F5">
              <w:rPr>
                <w:rFonts w:ascii="Arial" w:hAnsi="Arial" w:cs="Arial"/>
                <w:b/>
                <w:sz w:val="21"/>
                <w:szCs w:val="21"/>
              </w:rPr>
              <w:t>.</w:t>
            </w:r>
            <w:r w:rsidR="00B0773D" w:rsidRPr="00A177F5">
              <w:rPr>
                <w:rFonts w:ascii="Arial" w:hAnsi="Arial" w:cs="Arial"/>
                <w:b/>
                <w:sz w:val="21"/>
                <w:szCs w:val="21"/>
              </w:rPr>
              <w:t>2</w:t>
            </w:r>
            <w:r w:rsidRPr="00A177F5">
              <w:rPr>
                <w:rFonts w:ascii="Arial" w:hAnsi="Arial" w:cs="Arial"/>
                <w:b/>
                <w:sz w:val="21"/>
                <w:szCs w:val="21"/>
              </w:rPr>
              <w:t>7</w:t>
            </w:r>
          </w:p>
        </w:tc>
      </w:tr>
    </w:tbl>
    <w:p w:rsidR="001C24C4" w:rsidRDefault="001C24C4" w:rsidP="00B57DA3">
      <w:pPr>
        <w:rPr>
          <w:rFonts w:ascii="Arial" w:hAnsi="Arial" w:cs="Arial"/>
          <w:sz w:val="21"/>
          <w:szCs w:val="21"/>
        </w:rPr>
      </w:pPr>
    </w:p>
    <w:p w:rsidR="00CC4B28" w:rsidRPr="00CC4B28" w:rsidRDefault="00C3186F" w:rsidP="00B57DA3">
      <w:pPr>
        <w:rPr>
          <w:rFonts w:ascii="Arial" w:hAnsi="Arial" w:cs="Arial"/>
          <w:sz w:val="21"/>
          <w:szCs w:val="21"/>
        </w:rPr>
      </w:pPr>
      <w:r w:rsidRPr="00CC4B28">
        <w:rPr>
          <w:rFonts w:ascii="Arial" w:hAnsi="Arial" w:cs="Arial"/>
          <w:sz w:val="21"/>
          <w:szCs w:val="21"/>
        </w:rPr>
        <w:t>Retenciones y Contribuciones por Pagar a Corto Plazo</w:t>
      </w:r>
      <w:r w:rsidRPr="00CC4B28">
        <w:rPr>
          <w:rFonts w:ascii="Arial" w:hAnsi="Arial" w:cs="Arial"/>
          <w:sz w:val="21"/>
          <w:szCs w:val="21"/>
        </w:rPr>
        <w:tab/>
        <w:t xml:space="preserve">$ </w:t>
      </w:r>
      <w:r w:rsidR="00B57DA3">
        <w:rPr>
          <w:rFonts w:ascii="Arial" w:hAnsi="Arial" w:cs="Arial"/>
          <w:sz w:val="21"/>
          <w:szCs w:val="21"/>
        </w:rPr>
        <w:t>1</w:t>
      </w:r>
      <w:proofErr w:type="gramStart"/>
      <w:r w:rsidR="00B57DA3">
        <w:rPr>
          <w:rFonts w:ascii="Arial" w:hAnsi="Arial" w:cs="Arial"/>
          <w:sz w:val="21"/>
          <w:szCs w:val="21"/>
        </w:rPr>
        <w:t>,035,852.52</w:t>
      </w:r>
      <w:proofErr w:type="gramEnd"/>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1D3DBF">
            <w:pPr>
              <w:rPr>
                <w:rFonts w:ascii="Arial" w:hAnsi="Arial" w:cs="Arial"/>
                <w:sz w:val="21"/>
                <w:szCs w:val="21"/>
              </w:rPr>
            </w:pPr>
            <w:r>
              <w:rPr>
                <w:rFonts w:ascii="Arial" w:hAnsi="Arial" w:cs="Arial"/>
                <w:sz w:val="21"/>
                <w:szCs w:val="21"/>
              </w:rPr>
              <w:t xml:space="preserve">Retenciones de </w:t>
            </w:r>
            <w:r w:rsidR="001D3DBF">
              <w:rPr>
                <w:rFonts w:ascii="Arial" w:hAnsi="Arial" w:cs="Arial"/>
                <w:sz w:val="21"/>
                <w:szCs w:val="21"/>
              </w:rPr>
              <w:t>junio</w:t>
            </w:r>
            <w:r w:rsidR="00FE0455">
              <w:rPr>
                <w:rFonts w:ascii="Arial" w:hAnsi="Arial" w:cs="Arial"/>
                <w:sz w:val="21"/>
                <w:szCs w:val="21"/>
              </w:rPr>
              <w:t xml:space="preserve"> 2</w:t>
            </w:r>
            <w:r>
              <w:rPr>
                <w:rFonts w:ascii="Arial" w:hAnsi="Arial" w:cs="Arial"/>
                <w:sz w:val="21"/>
                <w:szCs w:val="21"/>
              </w:rPr>
              <w:t>01</w:t>
            </w:r>
            <w:r w:rsidR="006B01F3">
              <w:rPr>
                <w:rFonts w:ascii="Arial" w:hAnsi="Arial" w:cs="Arial"/>
                <w:sz w:val="21"/>
                <w:szCs w:val="21"/>
              </w:rPr>
              <w:t>5</w:t>
            </w:r>
          </w:p>
        </w:tc>
        <w:tc>
          <w:tcPr>
            <w:tcW w:w="2976" w:type="dxa"/>
            <w:vAlign w:val="center"/>
          </w:tcPr>
          <w:p w:rsidR="00C3186F" w:rsidRPr="004D11EC" w:rsidRDefault="00CC4B28" w:rsidP="00B57DA3">
            <w:pPr>
              <w:jc w:val="right"/>
              <w:rPr>
                <w:rFonts w:ascii="Arial" w:hAnsi="Arial" w:cs="Arial"/>
                <w:sz w:val="21"/>
                <w:szCs w:val="21"/>
              </w:rPr>
            </w:pPr>
            <w:r>
              <w:rPr>
                <w:rFonts w:ascii="Arial" w:hAnsi="Arial" w:cs="Arial"/>
                <w:sz w:val="21"/>
                <w:szCs w:val="21"/>
              </w:rPr>
              <w:t>4</w:t>
            </w:r>
            <w:r w:rsidR="00B57DA3">
              <w:rPr>
                <w:rFonts w:ascii="Arial" w:hAnsi="Arial" w:cs="Arial"/>
                <w:sz w:val="21"/>
                <w:szCs w:val="21"/>
              </w:rPr>
              <w:t>74</w:t>
            </w:r>
            <w:r>
              <w:rPr>
                <w:rFonts w:ascii="Arial" w:hAnsi="Arial" w:cs="Arial"/>
                <w:sz w:val="21"/>
                <w:szCs w:val="21"/>
              </w:rPr>
              <w:t>,</w:t>
            </w:r>
            <w:r w:rsidR="00B57DA3">
              <w:rPr>
                <w:rFonts w:ascii="Arial" w:hAnsi="Arial" w:cs="Arial"/>
                <w:sz w:val="21"/>
                <w:szCs w:val="21"/>
              </w:rPr>
              <w:t>339.68</w:t>
            </w:r>
          </w:p>
        </w:tc>
      </w:tr>
      <w:tr w:rsidR="00205AB6" w:rsidRPr="004D11EC" w:rsidTr="00FE0455">
        <w:tc>
          <w:tcPr>
            <w:tcW w:w="3112" w:type="dxa"/>
            <w:vAlign w:val="center"/>
          </w:tcPr>
          <w:p w:rsidR="00205AB6" w:rsidRDefault="00205AB6" w:rsidP="00BD3E07">
            <w:pPr>
              <w:jc w:val="left"/>
              <w:rPr>
                <w:rFonts w:ascii="Arial" w:hAnsi="Arial" w:cs="Arial"/>
                <w:sz w:val="21"/>
                <w:szCs w:val="21"/>
              </w:rPr>
            </w:pPr>
            <w:r>
              <w:rPr>
                <w:rFonts w:ascii="Arial" w:hAnsi="Arial" w:cs="Arial"/>
                <w:sz w:val="21"/>
                <w:szCs w:val="21"/>
              </w:rPr>
              <w:t>I.S.R. Asimilados al Salario</w:t>
            </w:r>
          </w:p>
        </w:tc>
        <w:tc>
          <w:tcPr>
            <w:tcW w:w="3092" w:type="dxa"/>
            <w:vAlign w:val="center"/>
          </w:tcPr>
          <w:p w:rsidR="00FE0455" w:rsidRDefault="00FE0455" w:rsidP="00D945CA">
            <w:pPr>
              <w:ind w:right="-509"/>
              <w:rPr>
                <w:rFonts w:ascii="Arial" w:hAnsi="Arial" w:cs="Arial"/>
                <w:sz w:val="21"/>
                <w:szCs w:val="21"/>
              </w:rPr>
            </w:pPr>
            <w:r>
              <w:rPr>
                <w:rFonts w:ascii="Arial" w:hAnsi="Arial" w:cs="Arial"/>
                <w:sz w:val="21"/>
                <w:szCs w:val="21"/>
              </w:rPr>
              <w:t xml:space="preserve">Retenciones de </w:t>
            </w:r>
            <w:r w:rsidR="00D945CA">
              <w:rPr>
                <w:rFonts w:ascii="Arial" w:hAnsi="Arial" w:cs="Arial"/>
                <w:sz w:val="21"/>
                <w:szCs w:val="21"/>
              </w:rPr>
              <w:t>diciembre</w:t>
            </w:r>
            <w:r w:rsidR="00CC4B28">
              <w:rPr>
                <w:rFonts w:ascii="Arial" w:hAnsi="Arial" w:cs="Arial"/>
                <w:sz w:val="21"/>
                <w:szCs w:val="21"/>
              </w:rPr>
              <w:t xml:space="preserve"> </w:t>
            </w:r>
            <w:r>
              <w:rPr>
                <w:rFonts w:ascii="Arial" w:hAnsi="Arial" w:cs="Arial"/>
                <w:sz w:val="21"/>
                <w:szCs w:val="21"/>
              </w:rPr>
              <w:t>201</w:t>
            </w:r>
            <w:r w:rsidR="00D945CA">
              <w:rPr>
                <w:rFonts w:ascii="Arial" w:hAnsi="Arial" w:cs="Arial"/>
                <w:sz w:val="21"/>
                <w:szCs w:val="21"/>
              </w:rPr>
              <w:t>4</w:t>
            </w:r>
          </w:p>
        </w:tc>
        <w:tc>
          <w:tcPr>
            <w:tcW w:w="2976" w:type="dxa"/>
            <w:vAlign w:val="center"/>
          </w:tcPr>
          <w:p w:rsidR="00205AB6" w:rsidRDefault="006B01F3" w:rsidP="006B01F3">
            <w:pPr>
              <w:jc w:val="right"/>
              <w:rPr>
                <w:rFonts w:ascii="Arial" w:hAnsi="Arial" w:cs="Arial"/>
                <w:sz w:val="21"/>
                <w:szCs w:val="21"/>
              </w:rPr>
            </w:pPr>
            <w:r>
              <w:rPr>
                <w:rFonts w:ascii="Arial" w:hAnsi="Arial" w:cs="Arial"/>
                <w:sz w:val="21"/>
                <w:szCs w:val="21"/>
              </w:rPr>
              <w:t>-0</w:t>
            </w:r>
            <w:r w:rsidR="00FE0455">
              <w:rPr>
                <w:rFonts w:ascii="Arial" w:hAnsi="Arial" w:cs="Arial"/>
                <w:sz w:val="21"/>
                <w:szCs w:val="21"/>
              </w:rPr>
              <w:t>.</w:t>
            </w:r>
            <w:r>
              <w:rPr>
                <w:rFonts w:ascii="Arial" w:hAnsi="Arial" w:cs="Arial"/>
                <w:sz w:val="21"/>
                <w:szCs w:val="21"/>
              </w:rPr>
              <w:t>06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IVA por Pagar</w:t>
            </w:r>
          </w:p>
        </w:tc>
        <w:tc>
          <w:tcPr>
            <w:tcW w:w="3092" w:type="dxa"/>
            <w:vAlign w:val="center"/>
          </w:tcPr>
          <w:p w:rsidR="00C3186F" w:rsidRPr="004D11EC" w:rsidRDefault="00FF2CB4" w:rsidP="001D3DBF">
            <w:pPr>
              <w:ind w:right="-509"/>
              <w:rPr>
                <w:rFonts w:ascii="Arial" w:hAnsi="Arial" w:cs="Arial"/>
                <w:sz w:val="21"/>
                <w:szCs w:val="21"/>
              </w:rPr>
            </w:pPr>
            <w:r>
              <w:rPr>
                <w:rFonts w:ascii="Arial" w:hAnsi="Arial" w:cs="Arial"/>
                <w:sz w:val="21"/>
                <w:szCs w:val="21"/>
              </w:rPr>
              <w:t xml:space="preserve">Impuesto de </w:t>
            </w:r>
            <w:r w:rsidR="001D3DBF">
              <w:rPr>
                <w:rFonts w:ascii="Arial" w:hAnsi="Arial" w:cs="Arial"/>
                <w:sz w:val="21"/>
                <w:szCs w:val="21"/>
              </w:rPr>
              <w:t>junio</w:t>
            </w:r>
            <w:r w:rsidR="00D353DA">
              <w:rPr>
                <w:rFonts w:ascii="Arial" w:hAnsi="Arial" w:cs="Arial"/>
                <w:sz w:val="21"/>
                <w:szCs w:val="21"/>
              </w:rPr>
              <w:t xml:space="preserve"> </w:t>
            </w:r>
            <w:r w:rsidR="006B01F3">
              <w:rPr>
                <w:rFonts w:ascii="Arial" w:hAnsi="Arial" w:cs="Arial"/>
                <w:sz w:val="21"/>
                <w:szCs w:val="21"/>
              </w:rPr>
              <w:t>2015</w:t>
            </w:r>
          </w:p>
        </w:tc>
        <w:tc>
          <w:tcPr>
            <w:tcW w:w="2976" w:type="dxa"/>
            <w:vAlign w:val="center"/>
          </w:tcPr>
          <w:p w:rsidR="0011028B" w:rsidRPr="004D11EC" w:rsidRDefault="00B57DA3" w:rsidP="00B57DA3">
            <w:pPr>
              <w:jc w:val="right"/>
              <w:rPr>
                <w:rFonts w:ascii="Arial" w:hAnsi="Arial" w:cs="Arial"/>
                <w:sz w:val="21"/>
                <w:szCs w:val="21"/>
              </w:rPr>
            </w:pPr>
            <w:r>
              <w:rPr>
                <w:rFonts w:ascii="Arial" w:hAnsi="Arial" w:cs="Arial"/>
                <w:sz w:val="21"/>
                <w:szCs w:val="21"/>
              </w:rPr>
              <w:t>202</w:t>
            </w:r>
            <w:r w:rsidR="0011028B">
              <w:rPr>
                <w:rFonts w:ascii="Arial" w:hAnsi="Arial" w:cs="Arial"/>
                <w:sz w:val="21"/>
                <w:szCs w:val="21"/>
              </w:rPr>
              <w:t>,</w:t>
            </w:r>
            <w:r>
              <w:rPr>
                <w:rFonts w:ascii="Arial" w:hAnsi="Arial" w:cs="Arial"/>
                <w:sz w:val="21"/>
                <w:szCs w:val="21"/>
              </w:rPr>
              <w:t>304.48</w:t>
            </w:r>
          </w:p>
        </w:tc>
      </w:tr>
      <w:tr w:rsidR="003A7EBA" w:rsidRPr="004D11EC" w:rsidTr="00FE0455">
        <w:tc>
          <w:tcPr>
            <w:tcW w:w="3112" w:type="dxa"/>
            <w:vAlign w:val="center"/>
          </w:tcPr>
          <w:p w:rsidR="003A7EBA" w:rsidRDefault="003A7EBA" w:rsidP="00BD3E07">
            <w:pPr>
              <w:jc w:val="left"/>
              <w:rPr>
                <w:rFonts w:ascii="Arial" w:hAnsi="Arial" w:cs="Arial"/>
                <w:sz w:val="21"/>
                <w:szCs w:val="21"/>
              </w:rPr>
            </w:pPr>
            <w:r>
              <w:rPr>
                <w:rFonts w:ascii="Arial" w:hAnsi="Arial" w:cs="Arial"/>
                <w:sz w:val="21"/>
                <w:szCs w:val="21"/>
              </w:rPr>
              <w:t>IVA Trasladado</w:t>
            </w:r>
          </w:p>
        </w:tc>
        <w:tc>
          <w:tcPr>
            <w:tcW w:w="3092" w:type="dxa"/>
            <w:vAlign w:val="center"/>
          </w:tcPr>
          <w:p w:rsidR="003A7EBA" w:rsidRDefault="003A7EBA" w:rsidP="00D93F31">
            <w:pPr>
              <w:rPr>
                <w:rFonts w:ascii="Arial" w:hAnsi="Arial" w:cs="Arial"/>
                <w:sz w:val="21"/>
                <w:szCs w:val="21"/>
              </w:rPr>
            </w:pPr>
            <w:r>
              <w:rPr>
                <w:rFonts w:ascii="Arial" w:hAnsi="Arial" w:cs="Arial"/>
                <w:sz w:val="21"/>
                <w:szCs w:val="21"/>
              </w:rPr>
              <w:t>Facturas pendientes de pago</w:t>
            </w:r>
          </w:p>
        </w:tc>
        <w:tc>
          <w:tcPr>
            <w:tcW w:w="2976" w:type="dxa"/>
            <w:vAlign w:val="center"/>
          </w:tcPr>
          <w:p w:rsidR="003A7EBA" w:rsidRDefault="00B57DA3" w:rsidP="00B57DA3">
            <w:pPr>
              <w:jc w:val="right"/>
              <w:rPr>
                <w:rFonts w:ascii="Arial" w:hAnsi="Arial" w:cs="Arial"/>
                <w:sz w:val="21"/>
                <w:szCs w:val="21"/>
              </w:rPr>
            </w:pPr>
            <w:r>
              <w:rPr>
                <w:rFonts w:ascii="Arial" w:hAnsi="Arial" w:cs="Arial"/>
                <w:sz w:val="21"/>
                <w:szCs w:val="21"/>
              </w:rPr>
              <w:t>2</w:t>
            </w:r>
            <w:r w:rsidR="00BC1472">
              <w:rPr>
                <w:rFonts w:ascii="Arial" w:hAnsi="Arial" w:cs="Arial"/>
                <w:sz w:val="21"/>
                <w:szCs w:val="21"/>
              </w:rPr>
              <w:t>1</w:t>
            </w:r>
            <w:r w:rsidR="0011028B">
              <w:rPr>
                <w:rFonts w:ascii="Arial" w:hAnsi="Arial" w:cs="Arial"/>
                <w:sz w:val="21"/>
                <w:szCs w:val="21"/>
              </w:rPr>
              <w:t>,</w:t>
            </w:r>
            <w:r>
              <w:rPr>
                <w:rFonts w:ascii="Arial" w:hAnsi="Arial" w:cs="Arial"/>
                <w:sz w:val="21"/>
                <w:szCs w:val="21"/>
              </w:rPr>
              <w:t>059.03</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1D3DBF">
            <w:pPr>
              <w:rPr>
                <w:rFonts w:ascii="Arial" w:hAnsi="Arial" w:cs="Arial"/>
                <w:sz w:val="21"/>
                <w:szCs w:val="21"/>
              </w:rPr>
            </w:pPr>
            <w:r>
              <w:rPr>
                <w:rFonts w:ascii="Arial" w:hAnsi="Arial" w:cs="Arial"/>
                <w:sz w:val="21"/>
                <w:szCs w:val="21"/>
              </w:rPr>
              <w:t>Retenciones de</w:t>
            </w:r>
            <w:r w:rsidR="006B01F3">
              <w:rPr>
                <w:rFonts w:ascii="Arial" w:hAnsi="Arial" w:cs="Arial"/>
                <w:sz w:val="21"/>
                <w:szCs w:val="21"/>
              </w:rPr>
              <w:t xml:space="preserve"> </w:t>
            </w:r>
            <w:r w:rsidR="001D3DBF">
              <w:rPr>
                <w:rFonts w:ascii="Arial" w:hAnsi="Arial" w:cs="Arial"/>
                <w:sz w:val="21"/>
                <w:szCs w:val="21"/>
              </w:rPr>
              <w:t>junio</w:t>
            </w:r>
            <w:r w:rsidR="0011028B">
              <w:rPr>
                <w:rFonts w:ascii="Arial" w:hAnsi="Arial" w:cs="Arial"/>
                <w:sz w:val="21"/>
                <w:szCs w:val="21"/>
              </w:rPr>
              <w:t xml:space="preserve"> 2</w:t>
            </w:r>
            <w:r>
              <w:rPr>
                <w:rFonts w:ascii="Arial" w:hAnsi="Arial" w:cs="Arial"/>
                <w:sz w:val="21"/>
                <w:szCs w:val="21"/>
              </w:rPr>
              <w:t>01</w:t>
            </w:r>
            <w:r w:rsidR="006B01F3">
              <w:rPr>
                <w:rFonts w:ascii="Arial" w:hAnsi="Arial" w:cs="Arial"/>
                <w:sz w:val="21"/>
                <w:szCs w:val="21"/>
              </w:rPr>
              <w:t>5</w:t>
            </w:r>
          </w:p>
        </w:tc>
        <w:tc>
          <w:tcPr>
            <w:tcW w:w="2976" w:type="dxa"/>
            <w:vAlign w:val="center"/>
          </w:tcPr>
          <w:p w:rsidR="00C3186F" w:rsidRPr="004D11EC" w:rsidRDefault="00B57DA3" w:rsidP="00B57DA3">
            <w:pPr>
              <w:jc w:val="right"/>
              <w:rPr>
                <w:rFonts w:ascii="Arial" w:hAnsi="Arial" w:cs="Arial"/>
                <w:sz w:val="21"/>
                <w:szCs w:val="21"/>
              </w:rPr>
            </w:pPr>
            <w:r>
              <w:rPr>
                <w:rFonts w:ascii="Arial" w:hAnsi="Arial" w:cs="Arial"/>
                <w:sz w:val="21"/>
                <w:szCs w:val="21"/>
              </w:rPr>
              <w:t>9</w:t>
            </w:r>
            <w:r w:rsidR="0011028B">
              <w:rPr>
                <w:rFonts w:ascii="Arial" w:hAnsi="Arial" w:cs="Arial"/>
                <w:sz w:val="21"/>
                <w:szCs w:val="21"/>
              </w:rPr>
              <w:t>,</w:t>
            </w:r>
            <w:r>
              <w:rPr>
                <w:rFonts w:ascii="Arial" w:hAnsi="Arial" w:cs="Arial"/>
                <w:sz w:val="21"/>
                <w:szCs w:val="21"/>
              </w:rPr>
              <w:t>710.40</w:t>
            </w:r>
          </w:p>
        </w:tc>
      </w:tr>
      <w:tr w:rsidR="00E506FA" w:rsidRPr="004D11EC" w:rsidTr="00FE0455">
        <w:tc>
          <w:tcPr>
            <w:tcW w:w="3112" w:type="dxa"/>
            <w:vAlign w:val="center"/>
          </w:tcPr>
          <w:p w:rsidR="00E506FA" w:rsidRDefault="00E506FA" w:rsidP="00BD3E07">
            <w:pPr>
              <w:jc w:val="left"/>
              <w:rPr>
                <w:rFonts w:ascii="Arial" w:hAnsi="Arial" w:cs="Arial"/>
                <w:sz w:val="21"/>
                <w:szCs w:val="21"/>
              </w:rPr>
            </w:pPr>
            <w:r>
              <w:rPr>
                <w:rFonts w:ascii="Arial" w:hAnsi="Arial" w:cs="Arial"/>
                <w:sz w:val="21"/>
                <w:szCs w:val="21"/>
              </w:rPr>
              <w:t>ISSEMYM</w:t>
            </w:r>
          </w:p>
        </w:tc>
        <w:tc>
          <w:tcPr>
            <w:tcW w:w="3092" w:type="dxa"/>
            <w:vAlign w:val="center"/>
          </w:tcPr>
          <w:p w:rsidR="00E506FA" w:rsidRDefault="00E506FA" w:rsidP="001D3DBF">
            <w:pPr>
              <w:rPr>
                <w:rFonts w:ascii="Arial" w:hAnsi="Arial" w:cs="Arial"/>
                <w:sz w:val="21"/>
                <w:szCs w:val="21"/>
              </w:rPr>
            </w:pPr>
            <w:r>
              <w:rPr>
                <w:rFonts w:ascii="Arial" w:hAnsi="Arial" w:cs="Arial"/>
                <w:sz w:val="21"/>
                <w:szCs w:val="21"/>
              </w:rPr>
              <w:t xml:space="preserve">Cuotas de </w:t>
            </w:r>
            <w:r w:rsidR="001D3DBF">
              <w:rPr>
                <w:rFonts w:ascii="Arial" w:hAnsi="Arial" w:cs="Arial"/>
                <w:sz w:val="21"/>
                <w:szCs w:val="21"/>
              </w:rPr>
              <w:t>junio</w:t>
            </w:r>
            <w:r>
              <w:rPr>
                <w:rFonts w:ascii="Arial" w:hAnsi="Arial" w:cs="Arial"/>
                <w:sz w:val="21"/>
                <w:szCs w:val="21"/>
              </w:rPr>
              <w:t xml:space="preserve"> 2015</w:t>
            </w:r>
          </w:p>
        </w:tc>
        <w:tc>
          <w:tcPr>
            <w:tcW w:w="2976" w:type="dxa"/>
            <w:vAlign w:val="center"/>
          </w:tcPr>
          <w:p w:rsidR="00E506FA" w:rsidRDefault="00E506FA" w:rsidP="00B57DA3">
            <w:pPr>
              <w:jc w:val="right"/>
              <w:rPr>
                <w:rFonts w:ascii="Arial" w:hAnsi="Arial" w:cs="Arial"/>
                <w:sz w:val="21"/>
                <w:szCs w:val="21"/>
              </w:rPr>
            </w:pPr>
            <w:r>
              <w:rPr>
                <w:rFonts w:ascii="Arial" w:hAnsi="Arial" w:cs="Arial"/>
                <w:sz w:val="21"/>
                <w:szCs w:val="21"/>
              </w:rPr>
              <w:t>139,</w:t>
            </w:r>
            <w:r w:rsidR="00B57DA3">
              <w:rPr>
                <w:rFonts w:ascii="Arial" w:hAnsi="Arial" w:cs="Arial"/>
                <w:sz w:val="21"/>
                <w:szCs w:val="21"/>
              </w:rPr>
              <w:t>679.03</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C3186F" w:rsidRPr="004D11EC" w:rsidRDefault="00FF2CB4" w:rsidP="001D3DBF">
            <w:pPr>
              <w:rPr>
                <w:rFonts w:ascii="Arial" w:hAnsi="Arial" w:cs="Arial"/>
                <w:sz w:val="21"/>
                <w:szCs w:val="21"/>
              </w:rPr>
            </w:pPr>
            <w:r>
              <w:rPr>
                <w:rFonts w:ascii="Arial" w:hAnsi="Arial" w:cs="Arial"/>
                <w:sz w:val="21"/>
                <w:szCs w:val="21"/>
              </w:rPr>
              <w:t xml:space="preserve">Créditos </w:t>
            </w:r>
            <w:r w:rsidR="001D3DBF">
              <w:rPr>
                <w:rFonts w:ascii="Arial" w:hAnsi="Arial" w:cs="Arial"/>
                <w:sz w:val="21"/>
                <w:szCs w:val="21"/>
              </w:rPr>
              <w:t>junio</w:t>
            </w:r>
            <w:r w:rsidR="008653E1">
              <w:rPr>
                <w:rFonts w:ascii="Arial" w:hAnsi="Arial" w:cs="Arial"/>
                <w:sz w:val="21"/>
                <w:szCs w:val="21"/>
              </w:rPr>
              <w:t xml:space="preserve"> </w:t>
            </w:r>
            <w:r>
              <w:rPr>
                <w:rFonts w:ascii="Arial" w:hAnsi="Arial" w:cs="Arial"/>
                <w:sz w:val="21"/>
                <w:szCs w:val="21"/>
              </w:rPr>
              <w:t>201</w:t>
            </w:r>
            <w:r w:rsidR="008653E1">
              <w:rPr>
                <w:rFonts w:ascii="Arial" w:hAnsi="Arial" w:cs="Arial"/>
                <w:sz w:val="21"/>
                <w:szCs w:val="21"/>
              </w:rPr>
              <w:t>5</w:t>
            </w:r>
          </w:p>
        </w:tc>
        <w:tc>
          <w:tcPr>
            <w:tcW w:w="2976" w:type="dxa"/>
            <w:vAlign w:val="center"/>
          </w:tcPr>
          <w:p w:rsidR="00C3186F" w:rsidRPr="004D11EC" w:rsidRDefault="00B57DA3" w:rsidP="00B57DA3">
            <w:pPr>
              <w:jc w:val="right"/>
              <w:rPr>
                <w:rFonts w:ascii="Arial" w:hAnsi="Arial" w:cs="Arial"/>
                <w:sz w:val="21"/>
                <w:szCs w:val="21"/>
              </w:rPr>
            </w:pPr>
            <w:r>
              <w:rPr>
                <w:rFonts w:ascii="Arial" w:hAnsi="Arial" w:cs="Arial"/>
                <w:sz w:val="21"/>
                <w:szCs w:val="21"/>
              </w:rPr>
              <w:t>49</w:t>
            </w:r>
            <w:r w:rsidR="0011028B">
              <w:rPr>
                <w:rFonts w:ascii="Arial" w:hAnsi="Arial" w:cs="Arial"/>
                <w:sz w:val="21"/>
                <w:szCs w:val="21"/>
              </w:rPr>
              <w:t>,</w:t>
            </w:r>
            <w:r>
              <w:rPr>
                <w:rFonts w:ascii="Arial" w:hAnsi="Arial" w:cs="Arial"/>
                <w:sz w:val="21"/>
                <w:szCs w:val="21"/>
              </w:rPr>
              <w:t>938.34</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proofErr w:type="spellStart"/>
            <w:r>
              <w:rPr>
                <w:rFonts w:ascii="Arial" w:hAnsi="Arial" w:cs="Arial"/>
                <w:sz w:val="21"/>
                <w:szCs w:val="21"/>
              </w:rPr>
              <w:t>Suteym</w:t>
            </w:r>
            <w:proofErr w:type="spellEnd"/>
          </w:p>
        </w:tc>
        <w:tc>
          <w:tcPr>
            <w:tcW w:w="3092" w:type="dxa"/>
            <w:vAlign w:val="center"/>
          </w:tcPr>
          <w:p w:rsidR="00C3186F" w:rsidRPr="004D11EC" w:rsidRDefault="003A7EBA" w:rsidP="001D3DBF">
            <w:pPr>
              <w:rPr>
                <w:rFonts w:ascii="Arial" w:hAnsi="Arial" w:cs="Arial"/>
                <w:sz w:val="21"/>
                <w:szCs w:val="21"/>
              </w:rPr>
            </w:pPr>
            <w:r>
              <w:rPr>
                <w:rFonts w:ascii="Arial" w:hAnsi="Arial" w:cs="Arial"/>
                <w:sz w:val="21"/>
                <w:szCs w:val="21"/>
              </w:rPr>
              <w:t xml:space="preserve">Cuotas de </w:t>
            </w:r>
            <w:r w:rsidR="001D3DBF">
              <w:rPr>
                <w:rFonts w:ascii="Arial" w:hAnsi="Arial" w:cs="Arial"/>
                <w:sz w:val="21"/>
                <w:szCs w:val="21"/>
              </w:rPr>
              <w:t>junio</w:t>
            </w:r>
            <w:r w:rsidR="00D50458">
              <w:rPr>
                <w:rFonts w:ascii="Arial" w:hAnsi="Arial" w:cs="Arial"/>
                <w:sz w:val="21"/>
                <w:szCs w:val="21"/>
              </w:rPr>
              <w:t xml:space="preserve"> </w:t>
            </w:r>
            <w:r w:rsidR="008653E1">
              <w:rPr>
                <w:rFonts w:ascii="Arial" w:hAnsi="Arial" w:cs="Arial"/>
                <w:sz w:val="21"/>
                <w:szCs w:val="21"/>
              </w:rPr>
              <w:t>2015</w:t>
            </w:r>
          </w:p>
        </w:tc>
        <w:tc>
          <w:tcPr>
            <w:tcW w:w="2976" w:type="dxa"/>
            <w:vAlign w:val="center"/>
          </w:tcPr>
          <w:p w:rsidR="00C3186F" w:rsidRPr="004D11EC" w:rsidRDefault="008653E1" w:rsidP="00B57DA3">
            <w:pPr>
              <w:jc w:val="right"/>
              <w:rPr>
                <w:rFonts w:ascii="Arial" w:hAnsi="Arial" w:cs="Arial"/>
                <w:sz w:val="21"/>
                <w:szCs w:val="21"/>
              </w:rPr>
            </w:pPr>
            <w:r>
              <w:rPr>
                <w:rFonts w:ascii="Arial" w:hAnsi="Arial" w:cs="Arial"/>
                <w:sz w:val="21"/>
                <w:szCs w:val="21"/>
              </w:rPr>
              <w:t>1</w:t>
            </w:r>
            <w:r w:rsidR="00B57DA3">
              <w:rPr>
                <w:rFonts w:ascii="Arial" w:hAnsi="Arial" w:cs="Arial"/>
                <w:sz w:val="21"/>
                <w:szCs w:val="21"/>
              </w:rPr>
              <w:t>9</w:t>
            </w:r>
            <w:r>
              <w:rPr>
                <w:rFonts w:ascii="Arial" w:hAnsi="Arial" w:cs="Arial"/>
                <w:sz w:val="21"/>
                <w:szCs w:val="21"/>
              </w:rPr>
              <w:t>,</w:t>
            </w:r>
            <w:r w:rsidR="00B57DA3">
              <w:rPr>
                <w:rFonts w:ascii="Arial" w:hAnsi="Arial" w:cs="Arial"/>
                <w:sz w:val="21"/>
                <w:szCs w:val="21"/>
              </w:rPr>
              <w:t>150</w:t>
            </w:r>
            <w:r w:rsidR="00BC1472">
              <w:rPr>
                <w:rFonts w:ascii="Arial" w:hAnsi="Arial" w:cs="Arial"/>
                <w:sz w:val="21"/>
                <w:szCs w:val="21"/>
              </w:rPr>
              <w:t>.</w:t>
            </w:r>
            <w:r w:rsidR="00B57DA3">
              <w:rPr>
                <w:rFonts w:ascii="Arial" w:hAnsi="Arial" w:cs="Arial"/>
                <w:sz w:val="21"/>
                <w:szCs w:val="21"/>
              </w:rPr>
              <w:t>00</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1D3DBF">
            <w:pPr>
              <w:rPr>
                <w:rFonts w:ascii="Arial" w:hAnsi="Arial" w:cs="Arial"/>
                <w:sz w:val="21"/>
                <w:szCs w:val="21"/>
              </w:rPr>
            </w:pPr>
            <w:r>
              <w:rPr>
                <w:rFonts w:ascii="Arial" w:hAnsi="Arial" w:cs="Arial"/>
                <w:sz w:val="21"/>
                <w:szCs w:val="21"/>
              </w:rPr>
              <w:t xml:space="preserve">Primas de </w:t>
            </w:r>
            <w:r w:rsidR="001D3DBF">
              <w:rPr>
                <w:rFonts w:ascii="Arial" w:hAnsi="Arial" w:cs="Arial"/>
                <w:sz w:val="21"/>
                <w:szCs w:val="21"/>
              </w:rPr>
              <w:t>junio</w:t>
            </w:r>
            <w:r w:rsidR="00D50458">
              <w:rPr>
                <w:rFonts w:ascii="Arial" w:hAnsi="Arial" w:cs="Arial"/>
                <w:sz w:val="21"/>
                <w:szCs w:val="21"/>
              </w:rPr>
              <w:t xml:space="preserve"> </w:t>
            </w:r>
            <w:r>
              <w:rPr>
                <w:rFonts w:ascii="Arial" w:hAnsi="Arial" w:cs="Arial"/>
                <w:sz w:val="21"/>
                <w:szCs w:val="21"/>
              </w:rPr>
              <w:t>201</w:t>
            </w:r>
            <w:r w:rsidR="0011028B">
              <w:rPr>
                <w:rFonts w:ascii="Arial" w:hAnsi="Arial" w:cs="Arial"/>
                <w:sz w:val="21"/>
                <w:szCs w:val="21"/>
              </w:rPr>
              <w:t>5</w:t>
            </w:r>
          </w:p>
        </w:tc>
        <w:tc>
          <w:tcPr>
            <w:tcW w:w="2976" w:type="dxa"/>
            <w:vAlign w:val="center"/>
          </w:tcPr>
          <w:p w:rsidR="00C3186F" w:rsidRPr="004D11EC" w:rsidRDefault="00BC1472" w:rsidP="00B57DA3">
            <w:pPr>
              <w:jc w:val="right"/>
              <w:rPr>
                <w:rFonts w:ascii="Arial" w:hAnsi="Arial" w:cs="Arial"/>
                <w:sz w:val="21"/>
                <w:szCs w:val="21"/>
              </w:rPr>
            </w:pPr>
            <w:r>
              <w:rPr>
                <w:rFonts w:ascii="Arial" w:hAnsi="Arial" w:cs="Arial"/>
                <w:sz w:val="21"/>
                <w:szCs w:val="21"/>
              </w:rPr>
              <w:t>4</w:t>
            </w:r>
            <w:r w:rsidR="00D353DA">
              <w:rPr>
                <w:rFonts w:ascii="Arial" w:hAnsi="Arial" w:cs="Arial"/>
                <w:sz w:val="21"/>
                <w:szCs w:val="21"/>
              </w:rPr>
              <w:t>,</w:t>
            </w:r>
            <w:r>
              <w:rPr>
                <w:rFonts w:ascii="Arial" w:hAnsi="Arial" w:cs="Arial"/>
                <w:sz w:val="21"/>
                <w:szCs w:val="21"/>
              </w:rPr>
              <w:t>7</w:t>
            </w:r>
            <w:r w:rsidR="00B57DA3">
              <w:rPr>
                <w:rFonts w:ascii="Arial" w:hAnsi="Arial" w:cs="Arial"/>
                <w:sz w:val="21"/>
                <w:szCs w:val="21"/>
              </w:rPr>
              <w:t>90.72</w:t>
            </w:r>
          </w:p>
        </w:tc>
      </w:tr>
      <w:tr w:rsidR="00C3186F" w:rsidRPr="00C3186F" w:rsidTr="00FE0455">
        <w:tc>
          <w:tcPr>
            <w:tcW w:w="3112" w:type="dxa"/>
            <w:vAlign w:val="center"/>
          </w:tcPr>
          <w:p w:rsidR="00C3186F" w:rsidRPr="00FF2CB4" w:rsidRDefault="00550A1A" w:rsidP="008653E1">
            <w:pPr>
              <w:jc w:val="left"/>
              <w:rPr>
                <w:rFonts w:ascii="Arial" w:hAnsi="Arial" w:cs="Arial"/>
                <w:sz w:val="21"/>
                <w:szCs w:val="21"/>
              </w:rPr>
            </w:pPr>
            <w:r>
              <w:rPr>
                <w:rFonts w:ascii="Arial" w:hAnsi="Arial" w:cs="Arial"/>
                <w:sz w:val="21"/>
                <w:szCs w:val="21"/>
              </w:rPr>
              <w:t>H</w:t>
            </w:r>
            <w:r w:rsidR="008653E1">
              <w:rPr>
                <w:rFonts w:ascii="Arial" w:hAnsi="Arial" w:cs="Arial"/>
                <w:sz w:val="21"/>
                <w:szCs w:val="21"/>
              </w:rPr>
              <w:t>IR</w:t>
            </w:r>
            <w:r>
              <w:rPr>
                <w:rFonts w:ascii="Arial" w:hAnsi="Arial" w:cs="Arial"/>
                <w:sz w:val="21"/>
                <w:szCs w:val="21"/>
              </w:rPr>
              <w:t xml:space="preserve"> Compañía de Seguros</w:t>
            </w:r>
          </w:p>
        </w:tc>
        <w:tc>
          <w:tcPr>
            <w:tcW w:w="3092" w:type="dxa"/>
            <w:vAlign w:val="center"/>
          </w:tcPr>
          <w:p w:rsidR="00C3186F" w:rsidRPr="00C3186F" w:rsidRDefault="00B31772" w:rsidP="001D3DBF">
            <w:pPr>
              <w:jc w:val="left"/>
              <w:rPr>
                <w:rFonts w:ascii="Arial" w:hAnsi="Arial" w:cs="Arial"/>
                <w:sz w:val="21"/>
                <w:szCs w:val="21"/>
              </w:rPr>
            </w:pPr>
            <w:r>
              <w:rPr>
                <w:rFonts w:ascii="Arial" w:hAnsi="Arial" w:cs="Arial"/>
                <w:sz w:val="21"/>
                <w:szCs w:val="21"/>
              </w:rPr>
              <w:t>Aportaciones de</w:t>
            </w:r>
            <w:r w:rsidR="0011028B">
              <w:rPr>
                <w:rFonts w:ascii="Arial" w:hAnsi="Arial" w:cs="Arial"/>
                <w:sz w:val="21"/>
                <w:szCs w:val="21"/>
              </w:rPr>
              <w:t xml:space="preserve"> </w:t>
            </w:r>
            <w:r w:rsidR="001D3DBF">
              <w:rPr>
                <w:rFonts w:ascii="Arial" w:hAnsi="Arial" w:cs="Arial"/>
                <w:sz w:val="21"/>
                <w:szCs w:val="21"/>
              </w:rPr>
              <w:t>junio</w:t>
            </w:r>
            <w:r w:rsidR="008653E1">
              <w:rPr>
                <w:rFonts w:ascii="Arial" w:hAnsi="Arial" w:cs="Arial"/>
                <w:sz w:val="21"/>
                <w:szCs w:val="21"/>
              </w:rPr>
              <w:t xml:space="preserve"> 2015</w:t>
            </w:r>
          </w:p>
        </w:tc>
        <w:tc>
          <w:tcPr>
            <w:tcW w:w="2976" w:type="dxa"/>
            <w:vAlign w:val="center"/>
          </w:tcPr>
          <w:p w:rsidR="00C3186F" w:rsidRPr="00C3186F" w:rsidRDefault="00BC1472" w:rsidP="00B57DA3">
            <w:pPr>
              <w:jc w:val="right"/>
              <w:rPr>
                <w:rFonts w:ascii="Arial" w:hAnsi="Arial" w:cs="Arial"/>
                <w:sz w:val="21"/>
                <w:szCs w:val="21"/>
              </w:rPr>
            </w:pPr>
            <w:r>
              <w:rPr>
                <w:rFonts w:ascii="Arial" w:hAnsi="Arial" w:cs="Arial"/>
                <w:sz w:val="21"/>
                <w:szCs w:val="21"/>
              </w:rPr>
              <w:t>51</w:t>
            </w:r>
            <w:r w:rsidR="00D50458">
              <w:rPr>
                <w:rFonts w:ascii="Arial" w:hAnsi="Arial" w:cs="Arial"/>
                <w:sz w:val="21"/>
                <w:szCs w:val="21"/>
              </w:rPr>
              <w:t>,</w:t>
            </w:r>
            <w:r w:rsidR="00B57DA3">
              <w:rPr>
                <w:rFonts w:ascii="Arial" w:hAnsi="Arial" w:cs="Arial"/>
                <w:sz w:val="21"/>
                <w:szCs w:val="21"/>
              </w:rPr>
              <w:t>063.39</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BD3E07">
            <w:pPr>
              <w:jc w:val="left"/>
              <w:rPr>
                <w:rFonts w:ascii="Arial" w:hAnsi="Arial" w:cs="Arial"/>
                <w:sz w:val="21"/>
                <w:szCs w:val="21"/>
              </w:rPr>
            </w:pPr>
            <w:r>
              <w:rPr>
                <w:rFonts w:ascii="Arial" w:hAnsi="Arial" w:cs="Arial"/>
                <w:sz w:val="21"/>
                <w:szCs w:val="21"/>
              </w:rPr>
              <w:t>Prestaciones ISSEMYM</w:t>
            </w:r>
          </w:p>
        </w:tc>
        <w:tc>
          <w:tcPr>
            <w:tcW w:w="3092" w:type="dxa"/>
            <w:tcBorders>
              <w:top w:val="nil"/>
              <w:left w:val="nil"/>
              <w:bottom w:val="nil"/>
              <w:right w:val="nil"/>
            </w:tcBorders>
          </w:tcPr>
          <w:p w:rsidR="00E506FA" w:rsidRPr="00361CD4" w:rsidRDefault="008958C9" w:rsidP="001D3DBF">
            <w:pPr>
              <w:rPr>
                <w:rFonts w:ascii="Arial" w:hAnsi="Arial" w:cs="Arial"/>
                <w:color w:val="1F497D" w:themeColor="text2"/>
                <w:sz w:val="21"/>
                <w:szCs w:val="21"/>
                <w:highlight w:val="lightGray"/>
              </w:rPr>
            </w:pPr>
            <w:r>
              <w:rPr>
                <w:rFonts w:ascii="Arial" w:hAnsi="Arial" w:cs="Arial"/>
                <w:sz w:val="21"/>
                <w:szCs w:val="21"/>
              </w:rPr>
              <w:t xml:space="preserve">Retenciones de </w:t>
            </w:r>
            <w:r w:rsidR="001D3DBF">
              <w:rPr>
                <w:rFonts w:ascii="Arial" w:hAnsi="Arial" w:cs="Arial"/>
                <w:sz w:val="21"/>
                <w:szCs w:val="21"/>
              </w:rPr>
              <w:t>junio</w:t>
            </w:r>
            <w:r>
              <w:rPr>
                <w:rFonts w:ascii="Arial" w:hAnsi="Arial" w:cs="Arial"/>
                <w:sz w:val="21"/>
                <w:szCs w:val="21"/>
              </w:rPr>
              <w:t xml:space="preserve"> 2015</w:t>
            </w:r>
          </w:p>
        </w:tc>
        <w:tc>
          <w:tcPr>
            <w:tcW w:w="2976" w:type="dxa"/>
            <w:tcBorders>
              <w:top w:val="nil"/>
              <w:left w:val="nil"/>
              <w:bottom w:val="nil"/>
              <w:right w:val="nil"/>
            </w:tcBorders>
          </w:tcPr>
          <w:p w:rsidR="00E506FA" w:rsidRDefault="00E506FA" w:rsidP="00B57DA3">
            <w:pPr>
              <w:jc w:val="right"/>
              <w:rPr>
                <w:rFonts w:ascii="Arial" w:hAnsi="Arial" w:cs="Arial"/>
                <w:sz w:val="21"/>
                <w:szCs w:val="21"/>
              </w:rPr>
            </w:pPr>
            <w:r>
              <w:rPr>
                <w:rFonts w:ascii="Arial" w:hAnsi="Arial" w:cs="Arial"/>
                <w:sz w:val="21"/>
                <w:szCs w:val="21"/>
              </w:rPr>
              <w:t>3</w:t>
            </w:r>
            <w:r w:rsidR="00B57DA3">
              <w:rPr>
                <w:rFonts w:ascii="Arial" w:hAnsi="Arial" w:cs="Arial"/>
                <w:sz w:val="21"/>
                <w:szCs w:val="21"/>
              </w:rPr>
              <w:t>2</w:t>
            </w:r>
            <w:r>
              <w:rPr>
                <w:rFonts w:ascii="Arial" w:hAnsi="Arial" w:cs="Arial"/>
                <w:sz w:val="21"/>
                <w:szCs w:val="21"/>
              </w:rPr>
              <w:t>,</w:t>
            </w:r>
            <w:r w:rsidR="00B57DA3">
              <w:rPr>
                <w:rFonts w:ascii="Arial" w:hAnsi="Arial" w:cs="Arial"/>
                <w:sz w:val="21"/>
                <w:szCs w:val="21"/>
              </w:rPr>
              <w:t>766.76</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BD3E07">
            <w:pPr>
              <w:jc w:val="left"/>
              <w:rPr>
                <w:rFonts w:ascii="Arial" w:hAnsi="Arial" w:cs="Arial"/>
                <w:sz w:val="21"/>
                <w:szCs w:val="21"/>
              </w:rPr>
            </w:pPr>
            <w:r>
              <w:rPr>
                <w:rFonts w:ascii="Arial" w:hAnsi="Arial" w:cs="Arial"/>
                <w:sz w:val="21"/>
                <w:szCs w:val="21"/>
              </w:rPr>
              <w:lastRenderedPageBreak/>
              <w:t xml:space="preserve">Electrodomésticos </w:t>
            </w:r>
            <w:proofErr w:type="spellStart"/>
            <w:r>
              <w:rPr>
                <w:rFonts w:ascii="Arial" w:hAnsi="Arial" w:cs="Arial"/>
                <w:sz w:val="21"/>
                <w:szCs w:val="21"/>
              </w:rPr>
              <w:t>Suteym</w:t>
            </w:r>
            <w:proofErr w:type="spellEnd"/>
          </w:p>
        </w:tc>
        <w:tc>
          <w:tcPr>
            <w:tcW w:w="3092" w:type="dxa"/>
            <w:tcBorders>
              <w:top w:val="nil"/>
              <w:left w:val="nil"/>
              <w:bottom w:val="nil"/>
              <w:right w:val="nil"/>
            </w:tcBorders>
          </w:tcPr>
          <w:p w:rsidR="00B31772" w:rsidRPr="004D11EC" w:rsidRDefault="00B31772" w:rsidP="001D3DBF">
            <w:pPr>
              <w:rPr>
                <w:rFonts w:ascii="Arial" w:hAnsi="Arial" w:cs="Arial"/>
                <w:sz w:val="21"/>
                <w:szCs w:val="21"/>
              </w:rPr>
            </w:pPr>
            <w:r>
              <w:rPr>
                <w:rFonts w:ascii="Arial" w:hAnsi="Arial" w:cs="Arial"/>
                <w:sz w:val="21"/>
                <w:szCs w:val="21"/>
              </w:rPr>
              <w:t xml:space="preserve">Créditos </w:t>
            </w:r>
            <w:r w:rsidR="001D3DBF">
              <w:rPr>
                <w:rFonts w:ascii="Arial" w:hAnsi="Arial" w:cs="Arial"/>
                <w:sz w:val="21"/>
                <w:szCs w:val="21"/>
              </w:rPr>
              <w:t>junio</w:t>
            </w:r>
            <w:r w:rsidR="008653E1">
              <w:rPr>
                <w:rFonts w:ascii="Arial" w:hAnsi="Arial" w:cs="Arial"/>
                <w:sz w:val="21"/>
                <w:szCs w:val="21"/>
              </w:rPr>
              <w:t xml:space="preserve"> 2015</w:t>
            </w:r>
          </w:p>
        </w:tc>
        <w:tc>
          <w:tcPr>
            <w:tcW w:w="2976" w:type="dxa"/>
            <w:tcBorders>
              <w:top w:val="nil"/>
              <w:left w:val="nil"/>
              <w:bottom w:val="nil"/>
              <w:right w:val="nil"/>
            </w:tcBorders>
          </w:tcPr>
          <w:p w:rsidR="00B31772" w:rsidRPr="004D11EC" w:rsidRDefault="00D72AB1" w:rsidP="00D72AB1">
            <w:pPr>
              <w:jc w:val="right"/>
              <w:rPr>
                <w:rFonts w:ascii="Arial" w:hAnsi="Arial" w:cs="Arial"/>
                <w:sz w:val="21"/>
                <w:szCs w:val="21"/>
              </w:rPr>
            </w:pPr>
            <w:r>
              <w:rPr>
                <w:rFonts w:ascii="Arial" w:hAnsi="Arial" w:cs="Arial"/>
                <w:sz w:val="21"/>
                <w:szCs w:val="21"/>
              </w:rPr>
              <w:t>6</w:t>
            </w:r>
            <w:r w:rsidR="00D50458">
              <w:rPr>
                <w:rFonts w:ascii="Arial" w:hAnsi="Arial" w:cs="Arial"/>
                <w:sz w:val="21"/>
                <w:szCs w:val="21"/>
              </w:rPr>
              <w:t>,</w:t>
            </w:r>
            <w:r>
              <w:rPr>
                <w:rFonts w:ascii="Arial" w:hAnsi="Arial" w:cs="Arial"/>
                <w:sz w:val="21"/>
                <w:szCs w:val="21"/>
              </w:rPr>
              <w:t>233.26</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Sistema de Capitalización Individual</w:t>
            </w:r>
          </w:p>
        </w:tc>
        <w:tc>
          <w:tcPr>
            <w:tcW w:w="3092" w:type="dxa"/>
            <w:tcBorders>
              <w:top w:val="nil"/>
              <w:left w:val="nil"/>
              <w:bottom w:val="nil"/>
              <w:right w:val="nil"/>
            </w:tcBorders>
          </w:tcPr>
          <w:p w:rsidR="00E506FA" w:rsidRDefault="00E506FA" w:rsidP="001D3DBF">
            <w:pPr>
              <w:rPr>
                <w:rFonts w:ascii="Arial" w:hAnsi="Arial" w:cs="Arial"/>
                <w:sz w:val="21"/>
                <w:szCs w:val="21"/>
              </w:rPr>
            </w:pPr>
            <w:r>
              <w:rPr>
                <w:rFonts w:ascii="Arial" w:hAnsi="Arial" w:cs="Arial"/>
                <w:sz w:val="21"/>
                <w:szCs w:val="21"/>
              </w:rPr>
              <w:t xml:space="preserve">Aportaciones de </w:t>
            </w:r>
            <w:r w:rsidR="001D3DBF">
              <w:rPr>
                <w:rFonts w:ascii="Arial" w:hAnsi="Arial" w:cs="Arial"/>
                <w:sz w:val="21"/>
                <w:szCs w:val="21"/>
              </w:rPr>
              <w:t>junio</w:t>
            </w:r>
            <w:r>
              <w:rPr>
                <w:rFonts w:ascii="Arial" w:hAnsi="Arial" w:cs="Arial"/>
                <w:sz w:val="21"/>
                <w:szCs w:val="21"/>
              </w:rPr>
              <w:t xml:space="preserve"> 2015</w:t>
            </w:r>
          </w:p>
        </w:tc>
        <w:tc>
          <w:tcPr>
            <w:tcW w:w="2976" w:type="dxa"/>
            <w:tcBorders>
              <w:top w:val="nil"/>
              <w:left w:val="nil"/>
              <w:bottom w:val="nil"/>
              <w:right w:val="nil"/>
            </w:tcBorders>
          </w:tcPr>
          <w:p w:rsidR="00E506FA" w:rsidRDefault="00E506FA" w:rsidP="00D72AB1">
            <w:pPr>
              <w:jc w:val="right"/>
              <w:rPr>
                <w:rFonts w:ascii="Arial" w:hAnsi="Arial" w:cs="Arial"/>
                <w:sz w:val="21"/>
                <w:szCs w:val="21"/>
              </w:rPr>
            </w:pPr>
            <w:r>
              <w:rPr>
                <w:rFonts w:ascii="Arial" w:hAnsi="Arial" w:cs="Arial"/>
                <w:sz w:val="21"/>
                <w:szCs w:val="21"/>
              </w:rPr>
              <w:t>11,</w:t>
            </w:r>
            <w:r w:rsidR="00D72AB1">
              <w:rPr>
                <w:rFonts w:ascii="Arial" w:hAnsi="Arial" w:cs="Arial"/>
                <w:sz w:val="21"/>
                <w:szCs w:val="21"/>
              </w:rPr>
              <w:t>671.60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0E2768">
            <w:pPr>
              <w:jc w:val="left"/>
              <w:rPr>
                <w:rFonts w:ascii="Arial" w:hAnsi="Arial" w:cs="Arial"/>
                <w:sz w:val="21"/>
                <w:szCs w:val="21"/>
              </w:rPr>
            </w:pPr>
            <w:r>
              <w:rPr>
                <w:rFonts w:ascii="Arial" w:hAnsi="Arial" w:cs="Arial"/>
                <w:sz w:val="21"/>
                <w:szCs w:val="21"/>
              </w:rPr>
              <w:t>Sistema de Capitalización Individual</w:t>
            </w:r>
          </w:p>
        </w:tc>
        <w:tc>
          <w:tcPr>
            <w:tcW w:w="3092" w:type="dxa"/>
            <w:tcBorders>
              <w:top w:val="nil"/>
              <w:left w:val="nil"/>
              <w:bottom w:val="nil"/>
              <w:right w:val="nil"/>
            </w:tcBorders>
          </w:tcPr>
          <w:p w:rsidR="00E506FA" w:rsidRDefault="00E506FA" w:rsidP="001D3DBF">
            <w:pPr>
              <w:rPr>
                <w:rFonts w:ascii="Arial" w:hAnsi="Arial" w:cs="Arial"/>
                <w:sz w:val="21"/>
                <w:szCs w:val="21"/>
              </w:rPr>
            </w:pPr>
            <w:r>
              <w:rPr>
                <w:rFonts w:ascii="Arial" w:hAnsi="Arial" w:cs="Arial"/>
                <w:sz w:val="21"/>
                <w:szCs w:val="21"/>
              </w:rPr>
              <w:t xml:space="preserve">Aportaciones de </w:t>
            </w:r>
            <w:r w:rsidR="001D3DBF">
              <w:rPr>
                <w:rFonts w:ascii="Arial" w:hAnsi="Arial" w:cs="Arial"/>
                <w:sz w:val="21"/>
                <w:szCs w:val="21"/>
              </w:rPr>
              <w:t>junio</w:t>
            </w:r>
            <w:r>
              <w:rPr>
                <w:rFonts w:ascii="Arial" w:hAnsi="Arial" w:cs="Arial"/>
                <w:sz w:val="21"/>
                <w:szCs w:val="21"/>
              </w:rPr>
              <w:t xml:space="preserve"> 2015</w:t>
            </w:r>
          </w:p>
        </w:tc>
        <w:tc>
          <w:tcPr>
            <w:tcW w:w="2976" w:type="dxa"/>
            <w:tcBorders>
              <w:top w:val="nil"/>
              <w:left w:val="nil"/>
              <w:bottom w:val="nil"/>
              <w:right w:val="nil"/>
            </w:tcBorders>
          </w:tcPr>
          <w:p w:rsidR="00E506FA" w:rsidRDefault="00E506FA" w:rsidP="00D72AB1">
            <w:pPr>
              <w:jc w:val="right"/>
              <w:rPr>
                <w:rFonts w:ascii="Arial" w:hAnsi="Arial" w:cs="Arial"/>
                <w:sz w:val="21"/>
                <w:szCs w:val="21"/>
              </w:rPr>
            </w:pPr>
            <w:r>
              <w:rPr>
                <w:rFonts w:ascii="Arial" w:hAnsi="Arial" w:cs="Arial"/>
                <w:sz w:val="21"/>
                <w:szCs w:val="21"/>
              </w:rPr>
              <w:t>4,</w:t>
            </w:r>
            <w:r w:rsidR="00D72AB1">
              <w:rPr>
                <w:rFonts w:ascii="Arial" w:hAnsi="Arial" w:cs="Arial"/>
                <w:sz w:val="21"/>
                <w:szCs w:val="21"/>
              </w:rPr>
              <w:t>7</w:t>
            </w:r>
            <w:r>
              <w:rPr>
                <w:rFonts w:ascii="Arial" w:hAnsi="Arial" w:cs="Arial"/>
                <w:sz w:val="21"/>
                <w:szCs w:val="21"/>
              </w:rPr>
              <w:t>77.85</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1D3DBF">
            <w:pPr>
              <w:rPr>
                <w:rFonts w:ascii="Arial" w:hAnsi="Arial" w:cs="Arial"/>
                <w:sz w:val="21"/>
                <w:szCs w:val="21"/>
              </w:rPr>
            </w:pPr>
            <w:r>
              <w:rPr>
                <w:rFonts w:ascii="Arial" w:hAnsi="Arial" w:cs="Arial"/>
                <w:sz w:val="21"/>
                <w:szCs w:val="21"/>
              </w:rPr>
              <w:t xml:space="preserve">Aportaciones de </w:t>
            </w:r>
            <w:r w:rsidR="001D3DBF">
              <w:rPr>
                <w:rFonts w:ascii="Arial" w:hAnsi="Arial" w:cs="Arial"/>
                <w:sz w:val="21"/>
                <w:szCs w:val="21"/>
              </w:rPr>
              <w:t>junio</w:t>
            </w:r>
            <w:r>
              <w:rPr>
                <w:rFonts w:ascii="Arial" w:hAnsi="Arial" w:cs="Arial"/>
                <w:sz w:val="21"/>
                <w:szCs w:val="21"/>
              </w:rPr>
              <w:t xml:space="preserve"> 2015</w:t>
            </w:r>
          </w:p>
        </w:tc>
        <w:tc>
          <w:tcPr>
            <w:tcW w:w="2976" w:type="dxa"/>
            <w:tcBorders>
              <w:top w:val="nil"/>
              <w:left w:val="nil"/>
              <w:bottom w:val="nil"/>
              <w:right w:val="nil"/>
            </w:tcBorders>
          </w:tcPr>
          <w:p w:rsidR="00E506FA" w:rsidRDefault="00D72AB1" w:rsidP="00D72AB1">
            <w:pPr>
              <w:jc w:val="right"/>
              <w:rPr>
                <w:rFonts w:ascii="Arial" w:hAnsi="Arial" w:cs="Arial"/>
                <w:sz w:val="21"/>
                <w:szCs w:val="21"/>
              </w:rPr>
            </w:pPr>
            <w:r>
              <w:rPr>
                <w:rFonts w:ascii="Arial" w:hAnsi="Arial" w:cs="Arial"/>
                <w:sz w:val="21"/>
                <w:szCs w:val="21"/>
              </w:rPr>
              <w:t>530</w:t>
            </w:r>
            <w:r w:rsidR="00E506FA">
              <w:rPr>
                <w:rFonts w:ascii="Arial" w:hAnsi="Arial" w:cs="Arial"/>
                <w:sz w:val="21"/>
                <w:szCs w:val="21"/>
              </w:rPr>
              <w:t>.00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BD3E07">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E506FA" w:rsidRDefault="00E506FA" w:rsidP="001D3DBF">
            <w:pPr>
              <w:rPr>
                <w:rFonts w:ascii="Arial" w:hAnsi="Arial" w:cs="Arial"/>
                <w:sz w:val="21"/>
                <w:szCs w:val="21"/>
              </w:rPr>
            </w:pPr>
            <w:r>
              <w:rPr>
                <w:rFonts w:ascii="Arial" w:hAnsi="Arial" w:cs="Arial"/>
                <w:sz w:val="21"/>
                <w:szCs w:val="21"/>
              </w:rPr>
              <w:t xml:space="preserve">Aportaciones de </w:t>
            </w:r>
            <w:r w:rsidR="001D3DBF">
              <w:rPr>
                <w:rFonts w:ascii="Arial" w:hAnsi="Arial" w:cs="Arial"/>
                <w:sz w:val="21"/>
                <w:szCs w:val="21"/>
              </w:rPr>
              <w:t>junio</w:t>
            </w:r>
            <w:r>
              <w:rPr>
                <w:rFonts w:ascii="Arial" w:hAnsi="Arial" w:cs="Arial"/>
                <w:sz w:val="21"/>
                <w:szCs w:val="21"/>
              </w:rPr>
              <w:t xml:space="preserve"> 2015</w:t>
            </w:r>
          </w:p>
        </w:tc>
        <w:tc>
          <w:tcPr>
            <w:tcW w:w="2976" w:type="dxa"/>
            <w:tcBorders>
              <w:top w:val="nil"/>
              <w:left w:val="nil"/>
              <w:bottom w:val="nil"/>
              <w:right w:val="nil"/>
            </w:tcBorders>
          </w:tcPr>
          <w:p w:rsidR="00E506FA" w:rsidRDefault="00E506FA" w:rsidP="00D50458">
            <w:pPr>
              <w:jc w:val="right"/>
              <w:rPr>
                <w:rFonts w:ascii="Arial" w:hAnsi="Arial" w:cs="Arial"/>
                <w:sz w:val="21"/>
                <w:szCs w:val="21"/>
              </w:rPr>
            </w:pPr>
            <w:r>
              <w:rPr>
                <w:rFonts w:ascii="Arial" w:hAnsi="Arial" w:cs="Arial"/>
                <w:sz w:val="21"/>
                <w:szCs w:val="21"/>
              </w:rPr>
              <w:t>2,100.00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Pr="004D11EC" w:rsidRDefault="00E506FA" w:rsidP="00BD3E07">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r>
              <w:rPr>
                <w:rFonts w:ascii="Arial" w:hAnsi="Arial" w:cs="Arial"/>
                <w:sz w:val="21"/>
                <w:szCs w:val="21"/>
              </w:rPr>
              <w:t xml:space="preserve"> México</w:t>
            </w:r>
          </w:p>
        </w:tc>
        <w:tc>
          <w:tcPr>
            <w:tcW w:w="3092" w:type="dxa"/>
            <w:tcBorders>
              <w:top w:val="nil"/>
              <w:left w:val="nil"/>
              <w:bottom w:val="nil"/>
              <w:right w:val="nil"/>
            </w:tcBorders>
          </w:tcPr>
          <w:p w:rsidR="00E506FA" w:rsidRPr="004D11EC" w:rsidRDefault="00E506FA" w:rsidP="001D3DBF">
            <w:pPr>
              <w:rPr>
                <w:rFonts w:ascii="Arial" w:hAnsi="Arial" w:cs="Arial"/>
                <w:sz w:val="21"/>
                <w:szCs w:val="21"/>
              </w:rPr>
            </w:pPr>
            <w:r>
              <w:rPr>
                <w:rFonts w:ascii="Arial" w:hAnsi="Arial" w:cs="Arial"/>
                <w:sz w:val="21"/>
                <w:szCs w:val="21"/>
              </w:rPr>
              <w:t xml:space="preserve">Aportaciones de </w:t>
            </w:r>
            <w:r w:rsidR="001D3DBF">
              <w:rPr>
                <w:rFonts w:ascii="Arial" w:hAnsi="Arial" w:cs="Arial"/>
                <w:sz w:val="21"/>
                <w:szCs w:val="21"/>
              </w:rPr>
              <w:t>junio</w:t>
            </w:r>
            <w:r>
              <w:rPr>
                <w:rFonts w:ascii="Arial" w:hAnsi="Arial" w:cs="Arial"/>
                <w:sz w:val="21"/>
                <w:szCs w:val="21"/>
              </w:rPr>
              <w:t xml:space="preserve"> 2015</w:t>
            </w:r>
          </w:p>
        </w:tc>
        <w:tc>
          <w:tcPr>
            <w:tcW w:w="2976" w:type="dxa"/>
            <w:tcBorders>
              <w:top w:val="nil"/>
              <w:left w:val="nil"/>
              <w:bottom w:val="nil"/>
              <w:right w:val="nil"/>
            </w:tcBorders>
          </w:tcPr>
          <w:p w:rsidR="00E506FA" w:rsidRPr="004D11EC" w:rsidRDefault="00D72AB1" w:rsidP="00D72AB1">
            <w:pPr>
              <w:jc w:val="right"/>
              <w:rPr>
                <w:rFonts w:ascii="Arial" w:hAnsi="Arial" w:cs="Arial"/>
                <w:sz w:val="21"/>
                <w:szCs w:val="21"/>
              </w:rPr>
            </w:pPr>
            <w:r>
              <w:rPr>
                <w:rFonts w:ascii="Arial" w:hAnsi="Arial" w:cs="Arial"/>
                <w:sz w:val="21"/>
                <w:szCs w:val="21"/>
              </w:rPr>
              <w:t>5</w:t>
            </w:r>
            <w:r w:rsidR="00E506FA">
              <w:rPr>
                <w:rFonts w:ascii="Arial" w:hAnsi="Arial" w:cs="Arial"/>
                <w:sz w:val="21"/>
                <w:szCs w:val="21"/>
              </w:rPr>
              <w:t>,</w:t>
            </w:r>
            <w:r>
              <w:rPr>
                <w:rFonts w:ascii="Arial" w:hAnsi="Arial" w:cs="Arial"/>
                <w:sz w:val="21"/>
                <w:szCs w:val="21"/>
              </w:rPr>
              <w:t>738.04</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895BD4" w:rsidRDefault="00B57DA3" w:rsidP="00B57DA3">
            <w:pPr>
              <w:jc w:val="right"/>
              <w:rPr>
                <w:rFonts w:ascii="Arial" w:hAnsi="Arial" w:cs="Arial"/>
                <w:b/>
                <w:sz w:val="21"/>
                <w:szCs w:val="21"/>
              </w:rPr>
            </w:pPr>
            <w:r>
              <w:rPr>
                <w:rFonts w:ascii="Arial" w:hAnsi="Arial" w:cs="Arial"/>
                <w:b/>
                <w:sz w:val="21"/>
                <w:szCs w:val="21"/>
              </w:rPr>
              <w:t>1,035,852.52</w:t>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t>$</w:t>
      </w:r>
      <w:r w:rsidR="00E506FA">
        <w:rPr>
          <w:rFonts w:ascii="Arial" w:hAnsi="Arial" w:cs="Arial"/>
          <w:sz w:val="21"/>
          <w:szCs w:val="21"/>
        </w:rPr>
        <w:t xml:space="preserve"> </w:t>
      </w:r>
      <w:r w:rsidR="00D72AB1">
        <w:rPr>
          <w:rFonts w:ascii="Arial" w:hAnsi="Arial" w:cs="Arial"/>
          <w:sz w:val="21"/>
          <w:szCs w:val="21"/>
        </w:rPr>
        <w:t>291</w:t>
      </w:r>
      <w:r w:rsidR="00AD6877">
        <w:rPr>
          <w:rFonts w:ascii="Arial" w:hAnsi="Arial" w:cs="Arial"/>
          <w:sz w:val="21"/>
          <w:szCs w:val="21"/>
        </w:rPr>
        <w:t>,</w:t>
      </w:r>
      <w:r w:rsidR="00D72AB1">
        <w:rPr>
          <w:rFonts w:ascii="Arial" w:hAnsi="Arial" w:cs="Arial"/>
          <w:sz w:val="21"/>
          <w:szCs w:val="21"/>
        </w:rPr>
        <w:t>001.62</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9C455A" w:rsidRPr="004D11EC" w:rsidTr="00871EDA">
        <w:tc>
          <w:tcPr>
            <w:tcW w:w="3112" w:type="dxa"/>
            <w:vAlign w:val="center"/>
          </w:tcPr>
          <w:p w:rsidR="005D661F" w:rsidRDefault="005D661F" w:rsidP="00D34AAA">
            <w:pPr>
              <w:jc w:val="left"/>
              <w:rPr>
                <w:rFonts w:ascii="Arial" w:hAnsi="Arial" w:cs="Arial"/>
                <w:sz w:val="21"/>
                <w:szCs w:val="21"/>
              </w:rPr>
            </w:pPr>
          </w:p>
        </w:tc>
        <w:tc>
          <w:tcPr>
            <w:tcW w:w="4793" w:type="dxa"/>
            <w:gridSpan w:val="2"/>
            <w:vAlign w:val="center"/>
          </w:tcPr>
          <w:p w:rsidR="009C455A" w:rsidRDefault="009C455A" w:rsidP="00B645D3">
            <w:pPr>
              <w:jc w:val="left"/>
              <w:rPr>
                <w:rFonts w:ascii="Arial" w:hAnsi="Arial" w:cs="Arial"/>
                <w:sz w:val="21"/>
                <w:szCs w:val="21"/>
              </w:rPr>
            </w:pPr>
          </w:p>
        </w:tc>
        <w:tc>
          <w:tcPr>
            <w:tcW w:w="1275" w:type="dxa"/>
            <w:gridSpan w:val="2"/>
            <w:vAlign w:val="center"/>
          </w:tcPr>
          <w:p w:rsidR="009C455A" w:rsidRDefault="009C455A" w:rsidP="003A7995">
            <w:pPr>
              <w:jc w:val="right"/>
              <w:rPr>
                <w:rFonts w:ascii="Arial" w:hAnsi="Arial" w:cs="Arial"/>
                <w:sz w:val="21"/>
                <w:szCs w:val="21"/>
              </w:rPr>
            </w:pPr>
          </w:p>
        </w:tc>
      </w:tr>
      <w:tr w:rsidR="00871EDA" w:rsidRPr="00703FC6" w:rsidTr="00871EDA">
        <w:trPr>
          <w:gridAfter w:val="1"/>
          <w:wAfter w:w="126" w:type="dxa"/>
        </w:trPr>
        <w:tc>
          <w:tcPr>
            <w:tcW w:w="3112" w:type="dxa"/>
            <w:vAlign w:val="center"/>
          </w:tcPr>
          <w:p w:rsidR="00871EDA" w:rsidRPr="00703FC6" w:rsidRDefault="00871EDA" w:rsidP="00871EDA">
            <w:pPr>
              <w:jc w:val="left"/>
              <w:rPr>
                <w:rFonts w:ascii="Arial" w:hAnsi="Arial" w:cs="Arial"/>
                <w:sz w:val="21"/>
                <w:szCs w:val="21"/>
              </w:rPr>
            </w:pPr>
            <w:r>
              <w:rPr>
                <w:rFonts w:ascii="Arial" w:hAnsi="Arial" w:cs="Arial"/>
                <w:sz w:val="21"/>
                <w:szCs w:val="21"/>
              </w:rPr>
              <w:t>Provisión de Gastos 2015</w:t>
            </w:r>
          </w:p>
        </w:tc>
        <w:tc>
          <w:tcPr>
            <w:tcW w:w="2691" w:type="dxa"/>
            <w:vAlign w:val="center"/>
          </w:tcPr>
          <w:p w:rsidR="00871EDA" w:rsidRPr="00703FC6" w:rsidRDefault="00871EDA" w:rsidP="00AB0A65">
            <w:pPr>
              <w:rPr>
                <w:rFonts w:ascii="Arial" w:hAnsi="Arial" w:cs="Arial"/>
                <w:sz w:val="21"/>
                <w:szCs w:val="21"/>
              </w:rPr>
            </w:pPr>
            <w:r>
              <w:rPr>
                <w:rFonts w:ascii="Arial" w:hAnsi="Arial" w:cs="Arial"/>
                <w:sz w:val="21"/>
                <w:szCs w:val="21"/>
              </w:rPr>
              <w:t>Provisión al Pago Seg</w:t>
            </w:r>
            <w:r w:rsidR="00AB0A65">
              <w:rPr>
                <w:rFonts w:ascii="Arial" w:hAnsi="Arial" w:cs="Arial"/>
                <w:sz w:val="21"/>
                <w:szCs w:val="21"/>
              </w:rPr>
              <w:t xml:space="preserve">uro de </w:t>
            </w:r>
            <w:r>
              <w:rPr>
                <w:rFonts w:ascii="Arial" w:hAnsi="Arial" w:cs="Arial"/>
                <w:sz w:val="21"/>
                <w:szCs w:val="21"/>
              </w:rPr>
              <w:t>Sep</w:t>
            </w:r>
            <w:r w:rsidR="00AB0A65">
              <w:rPr>
                <w:rFonts w:ascii="Arial" w:hAnsi="Arial" w:cs="Arial"/>
                <w:sz w:val="21"/>
                <w:szCs w:val="21"/>
              </w:rPr>
              <w:t>aración</w:t>
            </w:r>
            <w:r>
              <w:rPr>
                <w:rFonts w:ascii="Arial" w:hAnsi="Arial" w:cs="Arial"/>
                <w:sz w:val="21"/>
                <w:szCs w:val="21"/>
              </w:rPr>
              <w:t xml:space="preserve"> Ind</w:t>
            </w:r>
            <w:r w:rsidR="00AB0A65">
              <w:rPr>
                <w:rFonts w:ascii="Arial" w:hAnsi="Arial" w:cs="Arial"/>
                <w:sz w:val="21"/>
                <w:szCs w:val="21"/>
              </w:rPr>
              <w:t>ividualizado</w:t>
            </w:r>
            <w:r>
              <w:rPr>
                <w:rFonts w:ascii="Arial" w:hAnsi="Arial" w:cs="Arial"/>
                <w:sz w:val="21"/>
                <w:szCs w:val="21"/>
              </w:rPr>
              <w:t xml:space="preserve"> </w:t>
            </w:r>
          </w:p>
        </w:tc>
        <w:tc>
          <w:tcPr>
            <w:tcW w:w="3251" w:type="dxa"/>
            <w:gridSpan w:val="2"/>
            <w:vAlign w:val="center"/>
          </w:tcPr>
          <w:p w:rsidR="00871EDA" w:rsidRPr="00703FC6" w:rsidRDefault="00871EDA" w:rsidP="00871EDA">
            <w:pPr>
              <w:jc w:val="right"/>
              <w:rPr>
                <w:rFonts w:ascii="Arial" w:hAnsi="Arial" w:cs="Arial"/>
                <w:sz w:val="21"/>
                <w:szCs w:val="21"/>
              </w:rPr>
            </w:pPr>
            <w:r>
              <w:rPr>
                <w:rFonts w:ascii="Arial" w:hAnsi="Arial" w:cs="Arial"/>
                <w:sz w:val="21"/>
                <w:szCs w:val="21"/>
              </w:rPr>
              <w:t>187,697.30</w:t>
            </w:r>
          </w:p>
        </w:tc>
      </w:tr>
      <w:tr w:rsidR="00871EDA" w:rsidRPr="0091668E" w:rsidTr="00871EDA">
        <w:trPr>
          <w:gridAfter w:val="1"/>
          <w:wAfter w:w="126" w:type="dxa"/>
        </w:trPr>
        <w:tc>
          <w:tcPr>
            <w:tcW w:w="3112" w:type="dxa"/>
            <w:vAlign w:val="center"/>
          </w:tcPr>
          <w:p w:rsidR="00871EDA" w:rsidRPr="00703FC6" w:rsidRDefault="00871EDA" w:rsidP="00871EDA">
            <w:pPr>
              <w:jc w:val="left"/>
              <w:rPr>
                <w:rFonts w:ascii="Arial" w:hAnsi="Arial" w:cs="Arial"/>
                <w:sz w:val="21"/>
                <w:szCs w:val="21"/>
              </w:rPr>
            </w:pPr>
            <w:r>
              <w:rPr>
                <w:rFonts w:ascii="Arial" w:hAnsi="Arial" w:cs="Arial"/>
                <w:sz w:val="21"/>
                <w:szCs w:val="21"/>
              </w:rPr>
              <w:t>Francisco Bernardino Zarza Vilchis</w:t>
            </w:r>
          </w:p>
        </w:tc>
        <w:tc>
          <w:tcPr>
            <w:tcW w:w="2691" w:type="dxa"/>
            <w:vAlign w:val="center"/>
          </w:tcPr>
          <w:p w:rsidR="00871EDA" w:rsidRPr="00703FC6" w:rsidRDefault="00871EDA" w:rsidP="00871EDA">
            <w:pPr>
              <w:rPr>
                <w:rFonts w:ascii="Arial" w:hAnsi="Arial" w:cs="Arial"/>
                <w:sz w:val="21"/>
                <w:szCs w:val="21"/>
              </w:rPr>
            </w:pPr>
            <w:r>
              <w:rPr>
                <w:rFonts w:ascii="Arial" w:hAnsi="Arial" w:cs="Arial"/>
                <w:sz w:val="21"/>
                <w:szCs w:val="21"/>
              </w:rPr>
              <w:t>Primer pago parcial de Finiquito</w:t>
            </w:r>
          </w:p>
        </w:tc>
        <w:tc>
          <w:tcPr>
            <w:tcW w:w="3251" w:type="dxa"/>
            <w:gridSpan w:val="2"/>
            <w:vAlign w:val="center"/>
          </w:tcPr>
          <w:p w:rsidR="00871EDA" w:rsidRPr="0091668E" w:rsidRDefault="00871EDA" w:rsidP="00871EDA">
            <w:pPr>
              <w:jc w:val="right"/>
              <w:rPr>
                <w:rFonts w:ascii="Arial" w:hAnsi="Arial" w:cs="Arial"/>
                <w:sz w:val="21"/>
                <w:szCs w:val="21"/>
              </w:rPr>
            </w:pPr>
            <w:r>
              <w:rPr>
                <w:rFonts w:ascii="Arial" w:hAnsi="Arial" w:cs="Arial"/>
                <w:sz w:val="21"/>
                <w:szCs w:val="21"/>
              </w:rPr>
              <w:t>100</w:t>
            </w:r>
            <w:r w:rsidRPr="0091668E">
              <w:rPr>
                <w:rFonts w:ascii="Arial" w:hAnsi="Arial" w:cs="Arial"/>
                <w:sz w:val="21"/>
                <w:szCs w:val="21"/>
              </w:rPr>
              <w:t>,</w:t>
            </w:r>
            <w:r>
              <w:rPr>
                <w:rFonts w:ascii="Arial" w:hAnsi="Arial" w:cs="Arial"/>
                <w:sz w:val="21"/>
                <w:szCs w:val="21"/>
              </w:rPr>
              <w:t>000.00</w:t>
            </w:r>
          </w:p>
        </w:tc>
      </w:tr>
      <w:tr w:rsidR="00871EDA" w:rsidRPr="0091668E" w:rsidTr="00871EDA">
        <w:trPr>
          <w:gridAfter w:val="1"/>
          <w:wAfter w:w="126" w:type="dxa"/>
        </w:trPr>
        <w:tc>
          <w:tcPr>
            <w:tcW w:w="3112" w:type="dxa"/>
            <w:vAlign w:val="center"/>
          </w:tcPr>
          <w:p w:rsidR="00871EDA" w:rsidRPr="00703FC6" w:rsidRDefault="00871EDA" w:rsidP="00871EDA">
            <w:pPr>
              <w:jc w:val="left"/>
              <w:rPr>
                <w:rFonts w:ascii="Arial" w:hAnsi="Arial" w:cs="Arial"/>
                <w:sz w:val="21"/>
                <w:szCs w:val="21"/>
              </w:rPr>
            </w:pPr>
            <w:r>
              <w:rPr>
                <w:rFonts w:ascii="Arial" w:hAnsi="Arial" w:cs="Arial"/>
                <w:sz w:val="21"/>
                <w:szCs w:val="21"/>
              </w:rPr>
              <w:t>Oscar Gama García</w:t>
            </w:r>
          </w:p>
        </w:tc>
        <w:tc>
          <w:tcPr>
            <w:tcW w:w="2691" w:type="dxa"/>
            <w:vAlign w:val="center"/>
          </w:tcPr>
          <w:p w:rsidR="00871EDA" w:rsidRPr="00703FC6" w:rsidRDefault="00871EDA" w:rsidP="00871EDA">
            <w:pPr>
              <w:rPr>
                <w:rFonts w:ascii="Arial" w:hAnsi="Arial" w:cs="Arial"/>
                <w:sz w:val="21"/>
                <w:szCs w:val="21"/>
              </w:rPr>
            </w:pPr>
            <w:r>
              <w:rPr>
                <w:rFonts w:ascii="Arial" w:hAnsi="Arial" w:cs="Arial"/>
                <w:sz w:val="21"/>
                <w:szCs w:val="21"/>
              </w:rPr>
              <w:t>Compra de material diverso</w:t>
            </w:r>
          </w:p>
        </w:tc>
        <w:tc>
          <w:tcPr>
            <w:tcW w:w="3251" w:type="dxa"/>
            <w:gridSpan w:val="2"/>
            <w:vAlign w:val="center"/>
          </w:tcPr>
          <w:p w:rsidR="00871EDA" w:rsidRPr="0091668E" w:rsidRDefault="00871EDA" w:rsidP="00871EDA">
            <w:pPr>
              <w:jc w:val="right"/>
              <w:rPr>
                <w:rFonts w:ascii="Arial" w:hAnsi="Arial" w:cs="Arial"/>
                <w:sz w:val="21"/>
                <w:szCs w:val="21"/>
              </w:rPr>
            </w:pPr>
            <w:r>
              <w:rPr>
                <w:rFonts w:ascii="Arial" w:hAnsi="Arial" w:cs="Arial"/>
                <w:sz w:val="21"/>
                <w:szCs w:val="21"/>
              </w:rPr>
              <w:t>3,304.32</w:t>
            </w:r>
          </w:p>
        </w:tc>
      </w:tr>
      <w:tr w:rsidR="009C455A"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6D5EE9" w:rsidRPr="00871EDA" w:rsidRDefault="005D661F" w:rsidP="003A7995">
            <w:pPr>
              <w:rPr>
                <w:rFonts w:ascii="Arial" w:hAnsi="Arial" w:cs="Arial"/>
                <w:sz w:val="21"/>
                <w:szCs w:val="21"/>
                <w:u w:val="single"/>
              </w:rPr>
            </w:pPr>
            <w:r>
              <w:rPr>
                <w:rFonts w:ascii="Arial" w:hAnsi="Arial" w:cs="Arial"/>
                <w:sz w:val="21"/>
                <w:szCs w:val="21"/>
              </w:rPr>
              <w:t xml:space="preserve">                                                    </w:t>
            </w:r>
            <w:r w:rsidR="00871EDA">
              <w:rPr>
                <w:rFonts w:ascii="Arial" w:hAnsi="Arial" w:cs="Arial"/>
                <w:sz w:val="21"/>
                <w:szCs w:val="21"/>
              </w:rPr>
              <w:t xml:space="preserve">                                       </w:t>
            </w:r>
            <w:r w:rsidR="00871EDA" w:rsidRPr="00871EDA">
              <w:rPr>
                <w:rFonts w:ascii="Arial" w:hAnsi="Arial" w:cs="Arial"/>
                <w:b/>
                <w:sz w:val="21"/>
                <w:szCs w:val="21"/>
              </w:rPr>
              <w:t>Suma</w:t>
            </w:r>
          </w:p>
          <w:p w:rsidR="009C455A" w:rsidRPr="003A7995" w:rsidRDefault="009C455A" w:rsidP="003A7995">
            <w:pPr>
              <w:rPr>
                <w:rFonts w:ascii="Arial" w:hAnsi="Arial" w:cs="Arial"/>
                <w:sz w:val="21"/>
                <w:szCs w:val="21"/>
              </w:rPr>
            </w:pPr>
          </w:p>
        </w:tc>
        <w:tc>
          <w:tcPr>
            <w:tcW w:w="1275" w:type="dxa"/>
            <w:gridSpan w:val="2"/>
            <w:tcBorders>
              <w:top w:val="nil"/>
              <w:left w:val="nil"/>
              <w:bottom w:val="nil"/>
              <w:right w:val="nil"/>
            </w:tcBorders>
          </w:tcPr>
          <w:p w:rsidR="009C455A" w:rsidRPr="00561D34" w:rsidRDefault="003A7995" w:rsidP="003A7995">
            <w:pPr>
              <w:jc w:val="right"/>
              <w:rPr>
                <w:rFonts w:ascii="Arial" w:hAnsi="Arial" w:cs="Arial"/>
                <w:b/>
                <w:sz w:val="21"/>
                <w:szCs w:val="21"/>
              </w:rPr>
            </w:pPr>
            <w:r>
              <w:rPr>
                <w:rFonts w:ascii="Arial" w:hAnsi="Arial" w:cs="Arial"/>
                <w:b/>
                <w:sz w:val="21"/>
                <w:szCs w:val="21"/>
              </w:rPr>
              <w:t>29</w:t>
            </w:r>
            <w:r w:rsidR="00F77314">
              <w:rPr>
                <w:rFonts w:ascii="Arial" w:hAnsi="Arial" w:cs="Arial"/>
                <w:b/>
                <w:sz w:val="21"/>
                <w:szCs w:val="21"/>
              </w:rPr>
              <w:t>1</w:t>
            </w:r>
            <w:r w:rsidR="00AD6877">
              <w:rPr>
                <w:rFonts w:ascii="Arial" w:hAnsi="Arial" w:cs="Arial"/>
                <w:b/>
                <w:sz w:val="21"/>
                <w:szCs w:val="21"/>
              </w:rPr>
              <w:t>,</w:t>
            </w:r>
            <w:r>
              <w:rPr>
                <w:rFonts w:ascii="Arial" w:hAnsi="Arial" w:cs="Arial"/>
                <w:b/>
                <w:sz w:val="21"/>
                <w:szCs w:val="21"/>
              </w:rPr>
              <w:t>001.62</w:t>
            </w: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BD3E07">
            <w:pPr>
              <w:jc w:val="right"/>
              <w:rPr>
                <w:rFonts w:ascii="Arial" w:hAnsi="Arial" w:cs="Arial"/>
                <w:sz w:val="21"/>
                <w:szCs w:val="21"/>
              </w:rPr>
            </w:pPr>
            <w:r>
              <w:rPr>
                <w:rFonts w:ascii="Arial" w:hAnsi="Arial" w:cs="Arial"/>
                <w:sz w:val="21"/>
                <w:szCs w:val="21"/>
              </w:rPr>
              <w:t>15,408,273.98</w:t>
            </w:r>
          </w:p>
        </w:tc>
      </w:tr>
      <w:tr w:rsidR="00AA7CFC" w:rsidRPr="00AE5E99"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460771" w:rsidRDefault="00990E2B" w:rsidP="00990E2B">
            <w:pPr>
              <w:spacing w:before="100" w:after="100"/>
              <w:jc w:val="right"/>
              <w:rPr>
                <w:rFonts w:ascii="Arial" w:hAnsi="Arial" w:cs="Arial"/>
                <w:sz w:val="21"/>
                <w:szCs w:val="21"/>
              </w:rPr>
            </w:pPr>
            <w:r>
              <w:rPr>
                <w:rFonts w:ascii="Arial" w:hAnsi="Arial" w:cs="Arial"/>
                <w:sz w:val="21"/>
                <w:szCs w:val="21"/>
              </w:rPr>
              <w:t>3</w:t>
            </w:r>
            <w:r w:rsidR="003B1010">
              <w:rPr>
                <w:rFonts w:ascii="Arial" w:hAnsi="Arial" w:cs="Arial"/>
                <w:sz w:val="21"/>
                <w:szCs w:val="21"/>
              </w:rPr>
              <w:t>,</w:t>
            </w:r>
            <w:r>
              <w:rPr>
                <w:rFonts w:ascii="Arial" w:hAnsi="Arial" w:cs="Arial"/>
                <w:sz w:val="21"/>
                <w:szCs w:val="21"/>
              </w:rPr>
              <w:t>928</w:t>
            </w:r>
            <w:r w:rsidR="003B1010">
              <w:rPr>
                <w:rFonts w:ascii="Arial" w:hAnsi="Arial" w:cs="Arial"/>
                <w:sz w:val="21"/>
                <w:szCs w:val="21"/>
              </w:rPr>
              <w:t>,</w:t>
            </w:r>
            <w:r>
              <w:rPr>
                <w:rFonts w:ascii="Arial" w:hAnsi="Arial" w:cs="Arial"/>
                <w:sz w:val="21"/>
                <w:szCs w:val="21"/>
              </w:rPr>
              <w:t>106.33</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72196E" w:rsidP="000219CC">
            <w:pPr>
              <w:jc w:val="right"/>
              <w:rPr>
                <w:rFonts w:ascii="Arial" w:hAnsi="Arial" w:cs="Arial"/>
                <w:sz w:val="21"/>
                <w:szCs w:val="21"/>
              </w:rPr>
            </w:pPr>
            <w:r>
              <w:rPr>
                <w:rFonts w:ascii="Arial" w:hAnsi="Arial" w:cs="Arial"/>
                <w:sz w:val="21"/>
                <w:szCs w:val="21"/>
              </w:rPr>
              <w:t>(2,943,172.23)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AD6877" w:rsidP="00990E2B">
            <w:pPr>
              <w:jc w:val="right"/>
              <w:rPr>
                <w:rFonts w:ascii="Arial" w:hAnsi="Arial" w:cs="Arial"/>
                <w:b/>
                <w:sz w:val="21"/>
                <w:szCs w:val="21"/>
              </w:rPr>
            </w:pPr>
            <w:r>
              <w:rPr>
                <w:rFonts w:ascii="Arial" w:hAnsi="Arial" w:cs="Arial"/>
                <w:b/>
                <w:sz w:val="21"/>
                <w:szCs w:val="21"/>
              </w:rPr>
              <w:t>2</w:t>
            </w:r>
            <w:r w:rsidR="00990E2B">
              <w:rPr>
                <w:rFonts w:ascii="Arial" w:hAnsi="Arial" w:cs="Arial"/>
                <w:b/>
                <w:sz w:val="21"/>
                <w:szCs w:val="21"/>
              </w:rPr>
              <w:t>1</w:t>
            </w:r>
            <w:r>
              <w:rPr>
                <w:rFonts w:ascii="Arial" w:hAnsi="Arial" w:cs="Arial"/>
                <w:b/>
                <w:sz w:val="21"/>
                <w:szCs w:val="21"/>
              </w:rPr>
              <w:t>,</w:t>
            </w:r>
            <w:r w:rsidR="00990E2B">
              <w:rPr>
                <w:rFonts w:ascii="Arial" w:hAnsi="Arial" w:cs="Arial"/>
                <w:b/>
                <w:sz w:val="21"/>
                <w:szCs w:val="21"/>
              </w:rPr>
              <w:t>554</w:t>
            </w:r>
            <w:r>
              <w:rPr>
                <w:rFonts w:ascii="Arial" w:hAnsi="Arial" w:cs="Arial"/>
                <w:b/>
                <w:sz w:val="21"/>
                <w:szCs w:val="21"/>
              </w:rPr>
              <w:t>,</w:t>
            </w:r>
            <w:r w:rsidR="00990E2B">
              <w:rPr>
                <w:rFonts w:ascii="Arial" w:hAnsi="Arial" w:cs="Arial"/>
                <w:b/>
                <w:sz w:val="21"/>
                <w:szCs w:val="21"/>
              </w:rPr>
              <w:t>462.71</w:t>
            </w:r>
          </w:p>
        </w:tc>
      </w:tr>
    </w:tbl>
    <w:p w:rsidR="00781295" w:rsidRDefault="00781295" w:rsidP="00E03286">
      <w:pPr>
        <w:ind w:left="360"/>
        <w:rPr>
          <w:rFonts w:ascii="Arial" w:hAnsi="Arial" w:cs="Arial"/>
          <w:sz w:val="21"/>
          <w:szCs w:val="21"/>
        </w:rPr>
      </w:pPr>
    </w:p>
    <w:p w:rsidR="00781295" w:rsidRDefault="00781295" w:rsidP="00E03286">
      <w:pPr>
        <w:ind w:left="360"/>
        <w:rPr>
          <w:rFonts w:ascii="Arial" w:hAnsi="Arial" w:cs="Arial"/>
          <w:sz w:val="21"/>
          <w:szCs w:val="21"/>
        </w:rPr>
      </w:pPr>
    </w:p>
    <w:p w:rsidR="009C099C" w:rsidRDefault="009C099C" w:rsidP="00E03286">
      <w:pPr>
        <w:ind w:left="360"/>
        <w:rPr>
          <w:rFonts w:ascii="Arial" w:hAnsi="Arial" w:cs="Arial"/>
          <w:sz w:val="21"/>
          <w:szCs w:val="21"/>
        </w:rPr>
      </w:pPr>
    </w:p>
    <w:p w:rsidR="009C099C" w:rsidRDefault="009C099C" w:rsidP="00E03286">
      <w:pPr>
        <w:ind w:left="360"/>
        <w:rPr>
          <w:rFonts w:ascii="Arial" w:hAnsi="Arial" w:cs="Arial"/>
          <w:sz w:val="21"/>
          <w:szCs w:val="21"/>
        </w:rPr>
      </w:pPr>
    </w:p>
    <w:p w:rsidR="00781295" w:rsidRDefault="00781295" w:rsidP="00E03286">
      <w:pPr>
        <w:ind w:left="360"/>
        <w:rPr>
          <w:rFonts w:ascii="Arial" w:hAnsi="Arial" w:cs="Arial"/>
          <w:sz w:val="21"/>
          <w:szCs w:val="21"/>
        </w:rPr>
      </w:pPr>
    </w:p>
    <w:p w:rsidR="00F76A32" w:rsidRPr="00E03286" w:rsidRDefault="008344FC" w:rsidP="00E03286">
      <w:pPr>
        <w:ind w:left="360"/>
        <w:rPr>
          <w:rFonts w:ascii="Arial" w:hAnsi="Arial" w:cs="Arial"/>
          <w:sz w:val="21"/>
          <w:szCs w:val="21"/>
        </w:rPr>
      </w:pPr>
      <w:r w:rsidRPr="00E03286">
        <w:rPr>
          <w:rFonts w:ascii="Arial" w:hAnsi="Arial" w:cs="Arial"/>
          <w:sz w:val="21"/>
          <w:szCs w:val="21"/>
        </w:rPr>
        <w:lastRenderedPageBreak/>
        <w:t>Notas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9B004B">
        <w:rPr>
          <w:rFonts w:ascii="Arial" w:hAnsi="Arial" w:cs="Arial"/>
          <w:sz w:val="21"/>
          <w:szCs w:val="21"/>
        </w:rPr>
        <w:t>3</w:t>
      </w:r>
      <w:r w:rsidR="001D3DBF">
        <w:rPr>
          <w:rFonts w:ascii="Arial" w:hAnsi="Arial" w:cs="Arial"/>
          <w:sz w:val="21"/>
          <w:szCs w:val="21"/>
        </w:rPr>
        <w:t>0</w:t>
      </w:r>
      <w:r>
        <w:rPr>
          <w:rFonts w:ascii="Arial" w:hAnsi="Arial" w:cs="Arial"/>
          <w:sz w:val="21"/>
          <w:szCs w:val="21"/>
        </w:rPr>
        <w:t xml:space="preserve"> de </w:t>
      </w:r>
      <w:r w:rsidR="001D3DBF">
        <w:rPr>
          <w:rFonts w:ascii="Arial" w:hAnsi="Arial" w:cs="Arial"/>
          <w:sz w:val="21"/>
          <w:szCs w:val="21"/>
        </w:rPr>
        <w:t>junio</w:t>
      </w:r>
      <w:r>
        <w:rPr>
          <w:rFonts w:ascii="Arial" w:hAnsi="Arial" w:cs="Arial"/>
          <w:sz w:val="21"/>
          <w:szCs w:val="21"/>
        </w:rPr>
        <w:t xml:space="preserve">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BA6CA1" w:rsidP="00041B9F">
            <w:pPr>
              <w:jc w:val="right"/>
              <w:rPr>
                <w:rFonts w:ascii="Arial" w:hAnsi="Arial" w:cs="Arial"/>
                <w:sz w:val="21"/>
                <w:szCs w:val="21"/>
              </w:rPr>
            </w:pPr>
            <w:r>
              <w:rPr>
                <w:rFonts w:ascii="Arial" w:hAnsi="Arial" w:cs="Arial"/>
                <w:sz w:val="21"/>
                <w:szCs w:val="21"/>
              </w:rPr>
              <w:t>2</w:t>
            </w:r>
            <w:r w:rsidR="00041B9F">
              <w:rPr>
                <w:rFonts w:ascii="Arial" w:hAnsi="Arial" w:cs="Arial"/>
                <w:sz w:val="21"/>
                <w:szCs w:val="21"/>
              </w:rPr>
              <w:t>56</w:t>
            </w:r>
            <w:r w:rsidR="00AD6877">
              <w:rPr>
                <w:rFonts w:ascii="Arial" w:hAnsi="Arial" w:cs="Arial"/>
                <w:sz w:val="21"/>
                <w:szCs w:val="21"/>
              </w:rPr>
              <w:t>,</w:t>
            </w:r>
            <w:r w:rsidR="00041B9F">
              <w:rPr>
                <w:rFonts w:ascii="Arial" w:hAnsi="Arial" w:cs="Arial"/>
                <w:sz w:val="21"/>
                <w:szCs w:val="21"/>
              </w:rPr>
              <w:t>243.85</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041B9F" w:rsidP="00041B9F">
            <w:pPr>
              <w:jc w:val="right"/>
              <w:rPr>
                <w:rFonts w:ascii="Arial" w:hAnsi="Arial" w:cs="Arial"/>
                <w:sz w:val="21"/>
                <w:szCs w:val="21"/>
              </w:rPr>
            </w:pPr>
            <w:r>
              <w:rPr>
                <w:rFonts w:ascii="Arial" w:hAnsi="Arial" w:cs="Arial"/>
                <w:sz w:val="21"/>
                <w:szCs w:val="21"/>
              </w:rPr>
              <w:t>1,415,337.98</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BA6CA1" w:rsidP="00041B9F">
            <w:pPr>
              <w:jc w:val="right"/>
              <w:rPr>
                <w:rFonts w:ascii="Arial" w:hAnsi="Arial" w:cs="Arial"/>
                <w:sz w:val="21"/>
                <w:szCs w:val="21"/>
              </w:rPr>
            </w:pPr>
            <w:r>
              <w:rPr>
                <w:rFonts w:ascii="Arial" w:hAnsi="Arial" w:cs="Arial"/>
                <w:sz w:val="21"/>
                <w:szCs w:val="21"/>
              </w:rPr>
              <w:t>2</w:t>
            </w:r>
            <w:r w:rsidR="00AD6877">
              <w:rPr>
                <w:rFonts w:ascii="Arial" w:hAnsi="Arial" w:cs="Arial"/>
                <w:sz w:val="21"/>
                <w:szCs w:val="21"/>
              </w:rPr>
              <w:t>,</w:t>
            </w:r>
            <w:r w:rsidR="00041B9F">
              <w:rPr>
                <w:rFonts w:ascii="Arial" w:hAnsi="Arial" w:cs="Arial"/>
                <w:sz w:val="21"/>
                <w:szCs w:val="21"/>
              </w:rPr>
              <w:t>317,906.48</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657677" w:rsidRPr="004D11EC" w:rsidRDefault="00041B9F" w:rsidP="00041B9F">
            <w:pPr>
              <w:jc w:val="right"/>
              <w:rPr>
                <w:rFonts w:ascii="Arial" w:hAnsi="Arial" w:cs="Arial"/>
                <w:sz w:val="21"/>
                <w:szCs w:val="21"/>
              </w:rPr>
            </w:pPr>
            <w:r>
              <w:rPr>
                <w:rFonts w:ascii="Arial" w:hAnsi="Arial" w:cs="Arial"/>
                <w:sz w:val="21"/>
                <w:szCs w:val="21"/>
              </w:rPr>
              <w:t>702,870.26</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041B9F" w:rsidP="00041B9F">
            <w:pPr>
              <w:jc w:val="right"/>
              <w:rPr>
                <w:rFonts w:ascii="Arial" w:hAnsi="Arial" w:cs="Arial"/>
                <w:b/>
                <w:sz w:val="21"/>
                <w:szCs w:val="21"/>
              </w:rPr>
            </w:pPr>
            <w:r>
              <w:rPr>
                <w:rFonts w:ascii="Arial" w:hAnsi="Arial" w:cs="Arial"/>
                <w:b/>
                <w:sz w:val="21"/>
                <w:szCs w:val="21"/>
              </w:rPr>
              <w:t>4</w:t>
            </w:r>
            <w:r w:rsidR="00AD6877">
              <w:rPr>
                <w:rFonts w:ascii="Arial" w:hAnsi="Arial" w:cs="Arial"/>
                <w:b/>
                <w:sz w:val="21"/>
                <w:szCs w:val="21"/>
              </w:rPr>
              <w:t>,</w:t>
            </w:r>
            <w:r>
              <w:rPr>
                <w:rFonts w:ascii="Arial" w:hAnsi="Arial" w:cs="Arial"/>
                <w:b/>
                <w:sz w:val="21"/>
                <w:szCs w:val="21"/>
              </w:rPr>
              <w:t>692</w:t>
            </w:r>
            <w:r w:rsidR="00AD6877">
              <w:rPr>
                <w:rFonts w:ascii="Arial" w:hAnsi="Arial" w:cs="Arial"/>
                <w:b/>
                <w:sz w:val="21"/>
                <w:szCs w:val="21"/>
              </w:rPr>
              <w:t>,</w:t>
            </w:r>
            <w:r>
              <w:rPr>
                <w:rFonts w:ascii="Arial" w:hAnsi="Arial" w:cs="Arial"/>
                <w:b/>
                <w:sz w:val="21"/>
                <w:szCs w:val="21"/>
              </w:rPr>
              <w:t>358.57</w:t>
            </w: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AD6877">
        <w:rPr>
          <w:rFonts w:ascii="Arial" w:hAnsi="Arial" w:cs="Arial"/>
          <w:sz w:val="21"/>
          <w:szCs w:val="21"/>
        </w:rPr>
        <w:t>3</w:t>
      </w:r>
      <w:r w:rsidR="001D3DBF">
        <w:rPr>
          <w:rFonts w:ascii="Arial" w:hAnsi="Arial" w:cs="Arial"/>
          <w:sz w:val="21"/>
          <w:szCs w:val="21"/>
        </w:rPr>
        <w:t>0</w:t>
      </w:r>
      <w:r w:rsidR="00601BAF">
        <w:rPr>
          <w:rFonts w:ascii="Arial" w:hAnsi="Arial" w:cs="Arial"/>
          <w:sz w:val="21"/>
          <w:szCs w:val="21"/>
        </w:rPr>
        <w:t xml:space="preserve"> de </w:t>
      </w:r>
      <w:r w:rsidR="001D3DBF">
        <w:rPr>
          <w:rFonts w:ascii="Arial" w:hAnsi="Arial" w:cs="Arial"/>
          <w:sz w:val="21"/>
          <w:szCs w:val="21"/>
        </w:rPr>
        <w:t>junio</w:t>
      </w:r>
      <w:r w:rsidR="00781370">
        <w:rPr>
          <w:rFonts w:ascii="Arial" w:hAnsi="Arial" w:cs="Arial"/>
          <w:sz w:val="21"/>
          <w:szCs w:val="21"/>
        </w:rPr>
        <w:t xml:space="preserve"> de 201</w:t>
      </w:r>
      <w:r w:rsidR="0072196E">
        <w:rPr>
          <w:rFonts w:ascii="Arial" w:hAnsi="Arial" w:cs="Arial"/>
          <w:sz w:val="21"/>
          <w:szCs w:val="21"/>
        </w:rPr>
        <w:t>5</w:t>
      </w:r>
      <w:r w:rsidR="00781370">
        <w:rPr>
          <w:rFonts w:ascii="Arial" w:hAnsi="Arial" w:cs="Arial"/>
          <w:sz w:val="21"/>
          <w:szCs w:val="21"/>
        </w:rPr>
        <w:t xml:space="preserve"> fue por $</w:t>
      </w:r>
      <w:r w:rsidR="00D201B0">
        <w:rPr>
          <w:rFonts w:ascii="Arial" w:hAnsi="Arial" w:cs="Arial"/>
          <w:sz w:val="21"/>
          <w:szCs w:val="21"/>
        </w:rPr>
        <w:t>31</w:t>
      </w:r>
      <w:proofErr w:type="gramStart"/>
      <w:r w:rsidR="00AD6877">
        <w:rPr>
          <w:rFonts w:ascii="Arial" w:hAnsi="Arial" w:cs="Arial"/>
          <w:sz w:val="21"/>
          <w:szCs w:val="21"/>
        </w:rPr>
        <w:t>,</w:t>
      </w:r>
      <w:r w:rsidR="00D201B0">
        <w:rPr>
          <w:rFonts w:ascii="Arial" w:hAnsi="Arial" w:cs="Arial"/>
          <w:sz w:val="21"/>
          <w:szCs w:val="21"/>
        </w:rPr>
        <w:t>975,839.70</w:t>
      </w:r>
      <w:proofErr w:type="gramEnd"/>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BD3E07">
            <w:pPr>
              <w:jc w:val="left"/>
              <w:rPr>
                <w:rFonts w:ascii="Arial" w:hAnsi="Arial" w:cs="Arial"/>
                <w:sz w:val="21"/>
                <w:szCs w:val="21"/>
              </w:rPr>
            </w:pPr>
            <w:r>
              <w:rPr>
                <w:rFonts w:ascii="Arial" w:hAnsi="Arial" w:cs="Arial"/>
                <w:sz w:val="21"/>
                <w:szCs w:val="21"/>
              </w:rPr>
              <w:t>Intereses Bancarios</w:t>
            </w:r>
          </w:p>
        </w:tc>
        <w:tc>
          <w:tcPr>
            <w:tcW w:w="3118" w:type="dxa"/>
            <w:vAlign w:val="center"/>
          </w:tcPr>
          <w:p w:rsidR="00B216F7" w:rsidRPr="004D11EC" w:rsidRDefault="00D201B0" w:rsidP="00D201B0">
            <w:pPr>
              <w:jc w:val="right"/>
              <w:rPr>
                <w:rFonts w:ascii="Arial" w:hAnsi="Arial" w:cs="Arial"/>
                <w:sz w:val="21"/>
                <w:szCs w:val="21"/>
              </w:rPr>
            </w:pPr>
            <w:r>
              <w:rPr>
                <w:rFonts w:ascii="Arial" w:hAnsi="Arial" w:cs="Arial"/>
                <w:sz w:val="21"/>
                <w:szCs w:val="21"/>
              </w:rPr>
              <w:t>3</w:t>
            </w:r>
            <w:r w:rsidR="00AD6877">
              <w:rPr>
                <w:rFonts w:ascii="Arial" w:hAnsi="Arial" w:cs="Arial"/>
                <w:sz w:val="21"/>
                <w:szCs w:val="21"/>
              </w:rPr>
              <w:t>,</w:t>
            </w:r>
            <w:r w:rsidR="002D11FF">
              <w:rPr>
                <w:rFonts w:ascii="Arial" w:hAnsi="Arial" w:cs="Arial"/>
                <w:sz w:val="21"/>
                <w:szCs w:val="21"/>
              </w:rPr>
              <w:t>3</w:t>
            </w:r>
            <w:r>
              <w:rPr>
                <w:rFonts w:ascii="Arial" w:hAnsi="Arial" w:cs="Arial"/>
                <w:sz w:val="21"/>
                <w:szCs w:val="21"/>
              </w:rPr>
              <w:t>21</w:t>
            </w:r>
            <w:r w:rsidR="00AD6877">
              <w:rPr>
                <w:rFonts w:ascii="Arial" w:hAnsi="Arial" w:cs="Arial"/>
                <w:sz w:val="21"/>
                <w:szCs w:val="21"/>
              </w:rPr>
              <w:t>.</w:t>
            </w:r>
            <w:r>
              <w:rPr>
                <w:rFonts w:ascii="Arial" w:hAnsi="Arial" w:cs="Arial"/>
                <w:sz w:val="21"/>
                <w:szCs w:val="21"/>
              </w:rPr>
              <w:t>91</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45585A" w:rsidP="00D201B0">
            <w:pPr>
              <w:jc w:val="right"/>
              <w:rPr>
                <w:rFonts w:ascii="Arial" w:hAnsi="Arial" w:cs="Arial"/>
                <w:sz w:val="21"/>
                <w:szCs w:val="21"/>
              </w:rPr>
            </w:pPr>
            <w:r>
              <w:rPr>
                <w:rFonts w:ascii="Arial" w:hAnsi="Arial" w:cs="Arial"/>
                <w:sz w:val="21"/>
                <w:szCs w:val="21"/>
              </w:rPr>
              <w:t>2</w:t>
            </w:r>
            <w:r w:rsidR="00D201B0">
              <w:rPr>
                <w:rFonts w:ascii="Arial" w:hAnsi="Arial" w:cs="Arial"/>
                <w:sz w:val="21"/>
                <w:szCs w:val="21"/>
              </w:rPr>
              <w:t>59</w:t>
            </w:r>
            <w:r w:rsidR="00AD6877">
              <w:rPr>
                <w:rFonts w:ascii="Arial" w:hAnsi="Arial" w:cs="Arial"/>
                <w:sz w:val="21"/>
                <w:szCs w:val="21"/>
              </w:rPr>
              <w:t>,</w:t>
            </w:r>
            <w:r w:rsidR="00D201B0">
              <w:rPr>
                <w:rFonts w:ascii="Arial" w:hAnsi="Arial" w:cs="Arial"/>
                <w:sz w:val="21"/>
                <w:szCs w:val="21"/>
              </w:rPr>
              <w:t>964.90</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AD6877" w:rsidP="00D201B0">
            <w:pPr>
              <w:jc w:val="right"/>
              <w:rPr>
                <w:rFonts w:ascii="Arial" w:hAnsi="Arial" w:cs="Arial"/>
                <w:b/>
                <w:sz w:val="21"/>
                <w:szCs w:val="21"/>
              </w:rPr>
            </w:pPr>
            <w:r>
              <w:rPr>
                <w:rFonts w:ascii="Arial" w:hAnsi="Arial" w:cs="Arial"/>
                <w:b/>
                <w:sz w:val="21"/>
                <w:szCs w:val="21"/>
              </w:rPr>
              <w:t>2</w:t>
            </w:r>
            <w:r w:rsidR="0045585A">
              <w:rPr>
                <w:rFonts w:ascii="Arial" w:hAnsi="Arial" w:cs="Arial"/>
                <w:b/>
                <w:sz w:val="21"/>
                <w:szCs w:val="21"/>
              </w:rPr>
              <w:t>6</w:t>
            </w:r>
            <w:r w:rsidR="00D201B0">
              <w:rPr>
                <w:rFonts w:ascii="Arial" w:hAnsi="Arial" w:cs="Arial"/>
                <w:b/>
                <w:sz w:val="21"/>
                <w:szCs w:val="21"/>
              </w:rPr>
              <w:t>3</w:t>
            </w:r>
            <w:r>
              <w:rPr>
                <w:rFonts w:ascii="Arial" w:hAnsi="Arial" w:cs="Arial"/>
                <w:b/>
                <w:sz w:val="21"/>
                <w:szCs w:val="21"/>
              </w:rPr>
              <w:t>,</w:t>
            </w:r>
            <w:r w:rsidR="00D201B0">
              <w:rPr>
                <w:rFonts w:ascii="Arial" w:hAnsi="Arial" w:cs="Arial"/>
                <w:b/>
                <w:sz w:val="21"/>
                <w:szCs w:val="21"/>
              </w:rPr>
              <w:t>286.81</w:t>
            </w:r>
          </w:p>
        </w:tc>
      </w:tr>
    </w:tbl>
    <w:p w:rsidR="006B510E" w:rsidRDefault="006B510E" w:rsidP="00344D08">
      <w:pPr>
        <w:rPr>
          <w:rFonts w:ascii="Arial" w:hAnsi="Arial" w:cs="Arial"/>
          <w:sz w:val="21"/>
          <w:szCs w:val="21"/>
        </w:rPr>
      </w:pPr>
    </w:p>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467075">
        <w:rPr>
          <w:rFonts w:ascii="Arial" w:hAnsi="Arial" w:cs="Arial"/>
          <w:sz w:val="21"/>
          <w:szCs w:val="21"/>
        </w:rPr>
        <w:t>3</w:t>
      </w:r>
      <w:r w:rsidR="001D3DBF">
        <w:rPr>
          <w:rFonts w:ascii="Arial" w:hAnsi="Arial" w:cs="Arial"/>
          <w:sz w:val="21"/>
          <w:szCs w:val="21"/>
        </w:rPr>
        <w:t>0</w:t>
      </w:r>
      <w:r w:rsidR="00467075">
        <w:rPr>
          <w:rFonts w:ascii="Arial" w:hAnsi="Arial" w:cs="Arial"/>
          <w:sz w:val="21"/>
          <w:szCs w:val="21"/>
        </w:rPr>
        <w:t xml:space="preserve"> de </w:t>
      </w:r>
      <w:r w:rsidR="001D3DBF">
        <w:rPr>
          <w:rFonts w:ascii="Arial" w:hAnsi="Arial" w:cs="Arial"/>
          <w:sz w:val="21"/>
          <w:szCs w:val="21"/>
        </w:rPr>
        <w:t>junio</w:t>
      </w:r>
      <w:r>
        <w:rPr>
          <w:rFonts w:ascii="Arial" w:hAnsi="Arial" w:cs="Arial"/>
          <w:sz w:val="21"/>
          <w:szCs w:val="21"/>
        </w:rPr>
        <w:t xml:space="preserve"> de 201</w:t>
      </w:r>
      <w:r w:rsidR="00C037A8">
        <w:rPr>
          <w:rFonts w:ascii="Arial" w:hAnsi="Arial" w:cs="Arial"/>
          <w:sz w:val="21"/>
          <w:szCs w:val="21"/>
        </w:rPr>
        <w:t>5</w:t>
      </w:r>
      <w:r>
        <w:rPr>
          <w:rFonts w:ascii="Arial" w:hAnsi="Arial" w:cs="Arial"/>
          <w:sz w:val="21"/>
          <w:szCs w:val="21"/>
        </w:rPr>
        <w:t xml:space="preserve"> fue por $ </w:t>
      </w:r>
      <w:r w:rsidR="0045585A">
        <w:rPr>
          <w:rFonts w:ascii="Arial" w:hAnsi="Arial" w:cs="Arial"/>
          <w:sz w:val="21"/>
          <w:szCs w:val="21"/>
        </w:rPr>
        <w:t>3</w:t>
      </w:r>
      <w:r w:rsidR="00D201B0">
        <w:rPr>
          <w:rFonts w:ascii="Arial" w:hAnsi="Arial" w:cs="Arial"/>
          <w:sz w:val="21"/>
          <w:szCs w:val="21"/>
        </w:rPr>
        <w:t>6</w:t>
      </w:r>
      <w:proofErr w:type="gramStart"/>
      <w:r w:rsidR="00EF3B4C">
        <w:rPr>
          <w:rFonts w:ascii="Arial" w:hAnsi="Arial" w:cs="Arial"/>
          <w:sz w:val="21"/>
          <w:szCs w:val="21"/>
        </w:rPr>
        <w:t>,</w:t>
      </w:r>
      <w:r w:rsidR="00D201B0">
        <w:rPr>
          <w:rFonts w:ascii="Arial" w:hAnsi="Arial" w:cs="Arial"/>
          <w:sz w:val="21"/>
          <w:szCs w:val="21"/>
        </w:rPr>
        <w:t>931,485.08</w:t>
      </w:r>
      <w:proofErr w:type="gramEnd"/>
    </w:p>
    <w:p w:rsidR="001C24C4" w:rsidRDefault="001C24C4" w:rsidP="00344D08">
      <w:pPr>
        <w:rPr>
          <w:rFonts w:ascii="Arial" w:hAnsi="Arial" w:cs="Arial"/>
          <w:sz w:val="21"/>
          <w:szCs w:val="21"/>
          <w:u w:val="single"/>
        </w:rPr>
      </w:pP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45585A" w:rsidP="00D201B0">
            <w:pPr>
              <w:jc w:val="right"/>
              <w:rPr>
                <w:rFonts w:ascii="Arial" w:hAnsi="Arial" w:cs="Arial"/>
                <w:sz w:val="21"/>
                <w:szCs w:val="21"/>
              </w:rPr>
            </w:pPr>
            <w:r>
              <w:rPr>
                <w:rFonts w:ascii="Arial" w:hAnsi="Arial" w:cs="Arial"/>
                <w:sz w:val="21"/>
                <w:szCs w:val="21"/>
              </w:rPr>
              <w:t>2</w:t>
            </w:r>
            <w:r w:rsidR="00D201B0">
              <w:rPr>
                <w:rFonts w:ascii="Arial" w:hAnsi="Arial" w:cs="Arial"/>
                <w:sz w:val="21"/>
                <w:szCs w:val="21"/>
              </w:rPr>
              <w:t>7</w:t>
            </w:r>
            <w:r w:rsidR="007B1F23">
              <w:rPr>
                <w:rFonts w:ascii="Arial" w:hAnsi="Arial" w:cs="Arial"/>
                <w:sz w:val="21"/>
                <w:szCs w:val="21"/>
              </w:rPr>
              <w:t>,</w:t>
            </w:r>
            <w:r w:rsidR="00D201B0">
              <w:rPr>
                <w:rFonts w:ascii="Arial" w:hAnsi="Arial" w:cs="Arial"/>
                <w:sz w:val="21"/>
                <w:szCs w:val="21"/>
              </w:rPr>
              <w:t>823,410.85</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D201B0" w:rsidP="00D201B0">
            <w:pPr>
              <w:jc w:val="right"/>
              <w:rPr>
                <w:rFonts w:ascii="Arial" w:hAnsi="Arial" w:cs="Arial"/>
                <w:sz w:val="21"/>
                <w:szCs w:val="21"/>
              </w:rPr>
            </w:pPr>
            <w:r>
              <w:rPr>
                <w:rFonts w:ascii="Arial" w:hAnsi="Arial" w:cs="Arial"/>
                <w:sz w:val="21"/>
                <w:szCs w:val="21"/>
              </w:rPr>
              <w:t>633</w:t>
            </w:r>
            <w:r w:rsidR="007B1F23">
              <w:rPr>
                <w:rFonts w:ascii="Arial" w:hAnsi="Arial" w:cs="Arial"/>
                <w:sz w:val="21"/>
                <w:szCs w:val="21"/>
              </w:rPr>
              <w:t>,</w:t>
            </w:r>
            <w:r>
              <w:rPr>
                <w:rFonts w:ascii="Arial" w:hAnsi="Arial" w:cs="Arial"/>
                <w:sz w:val="21"/>
                <w:szCs w:val="21"/>
              </w:rPr>
              <w:t>470.49</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3F224C" w:rsidRPr="004D11EC" w:rsidRDefault="00D201B0" w:rsidP="00D201B0">
            <w:pPr>
              <w:jc w:val="right"/>
              <w:rPr>
                <w:rFonts w:ascii="Arial" w:hAnsi="Arial" w:cs="Arial"/>
                <w:sz w:val="21"/>
                <w:szCs w:val="21"/>
              </w:rPr>
            </w:pPr>
            <w:r>
              <w:rPr>
                <w:rFonts w:ascii="Arial" w:hAnsi="Arial" w:cs="Arial"/>
                <w:sz w:val="21"/>
                <w:szCs w:val="21"/>
              </w:rPr>
              <w:t>3</w:t>
            </w:r>
            <w:r w:rsidR="007B1F23">
              <w:rPr>
                <w:rFonts w:ascii="Arial" w:hAnsi="Arial" w:cs="Arial"/>
                <w:sz w:val="21"/>
                <w:szCs w:val="21"/>
              </w:rPr>
              <w:t>,</w:t>
            </w:r>
            <w:r>
              <w:rPr>
                <w:rFonts w:ascii="Arial" w:hAnsi="Arial" w:cs="Arial"/>
                <w:sz w:val="21"/>
                <w:szCs w:val="21"/>
              </w:rPr>
              <w:t>526</w:t>
            </w:r>
            <w:r w:rsidR="007B1F23">
              <w:rPr>
                <w:rFonts w:ascii="Arial" w:hAnsi="Arial" w:cs="Arial"/>
                <w:sz w:val="21"/>
                <w:szCs w:val="21"/>
              </w:rPr>
              <w:t>,</w:t>
            </w:r>
            <w:r>
              <w:rPr>
                <w:rFonts w:ascii="Arial" w:hAnsi="Arial" w:cs="Arial"/>
                <w:sz w:val="21"/>
                <w:szCs w:val="21"/>
              </w:rPr>
              <w:t>845.97</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Default="00D201B0" w:rsidP="00D201B0">
            <w:pPr>
              <w:jc w:val="right"/>
              <w:rPr>
                <w:rFonts w:ascii="Arial" w:hAnsi="Arial" w:cs="Arial"/>
                <w:sz w:val="21"/>
                <w:szCs w:val="21"/>
              </w:rPr>
            </w:pPr>
            <w:r>
              <w:rPr>
                <w:rFonts w:ascii="Arial" w:hAnsi="Arial" w:cs="Arial"/>
                <w:b/>
                <w:sz w:val="21"/>
                <w:szCs w:val="21"/>
              </w:rPr>
              <w:t>31</w:t>
            </w:r>
            <w:r w:rsidR="00D146CF">
              <w:rPr>
                <w:rFonts w:ascii="Arial" w:hAnsi="Arial" w:cs="Arial"/>
                <w:b/>
                <w:sz w:val="21"/>
                <w:szCs w:val="21"/>
              </w:rPr>
              <w:t>,</w:t>
            </w:r>
            <w:r>
              <w:rPr>
                <w:rFonts w:ascii="Arial" w:hAnsi="Arial" w:cs="Arial"/>
                <w:b/>
                <w:sz w:val="21"/>
                <w:szCs w:val="21"/>
              </w:rPr>
              <w:t>983</w:t>
            </w:r>
            <w:r w:rsidR="00D146CF">
              <w:rPr>
                <w:rFonts w:ascii="Arial" w:hAnsi="Arial" w:cs="Arial"/>
                <w:b/>
                <w:sz w:val="21"/>
                <w:szCs w:val="21"/>
              </w:rPr>
              <w:t>,</w:t>
            </w:r>
            <w:r>
              <w:rPr>
                <w:rFonts w:ascii="Arial" w:hAnsi="Arial" w:cs="Arial"/>
                <w:b/>
                <w:sz w:val="21"/>
                <w:szCs w:val="21"/>
              </w:rPr>
              <w:t>727</w:t>
            </w:r>
            <w:r w:rsidR="009956DC">
              <w:rPr>
                <w:rFonts w:ascii="Arial" w:hAnsi="Arial" w:cs="Arial"/>
                <w:b/>
                <w:sz w:val="21"/>
                <w:szCs w:val="21"/>
              </w:rPr>
              <w:t>.</w:t>
            </w:r>
            <w:r>
              <w:rPr>
                <w:rFonts w:ascii="Arial" w:hAnsi="Arial" w:cs="Arial"/>
                <w:b/>
                <w:sz w:val="21"/>
                <w:szCs w:val="21"/>
              </w:rPr>
              <w:t>31</w:t>
            </w:r>
          </w:p>
        </w:tc>
      </w:tr>
      <w:tr w:rsidR="0001063A" w:rsidRPr="004D11EC" w:rsidTr="00BD3E07">
        <w:tc>
          <w:tcPr>
            <w:tcW w:w="3510" w:type="dxa"/>
            <w:vAlign w:val="center"/>
          </w:tcPr>
          <w:p w:rsidR="0001063A" w:rsidRPr="003203B0" w:rsidRDefault="0001063A" w:rsidP="00BD3E07">
            <w:pPr>
              <w:jc w:val="right"/>
              <w:rPr>
                <w:rFonts w:ascii="Arial" w:hAnsi="Arial" w:cs="Arial"/>
                <w:b/>
                <w:sz w:val="21"/>
                <w:szCs w:val="21"/>
              </w:rPr>
            </w:pPr>
          </w:p>
        </w:tc>
        <w:tc>
          <w:tcPr>
            <w:tcW w:w="3118" w:type="dxa"/>
            <w:vAlign w:val="center"/>
          </w:tcPr>
          <w:p w:rsidR="0001063A" w:rsidRPr="000452AD" w:rsidRDefault="0001063A" w:rsidP="00947F2F">
            <w:pPr>
              <w:jc w:val="right"/>
              <w:rPr>
                <w:rFonts w:ascii="Arial" w:hAnsi="Arial" w:cs="Arial"/>
                <w:b/>
                <w:sz w:val="21"/>
                <w:szCs w:val="21"/>
              </w:rPr>
            </w:pPr>
          </w:p>
        </w:tc>
      </w:tr>
      <w:tr w:rsidR="001C24C4" w:rsidRPr="004D11EC" w:rsidTr="00BD3E07">
        <w:tc>
          <w:tcPr>
            <w:tcW w:w="3510" w:type="dxa"/>
            <w:vAlign w:val="center"/>
          </w:tcPr>
          <w:p w:rsidR="001C24C4" w:rsidRPr="003203B0" w:rsidRDefault="001C24C4" w:rsidP="00BD3E07">
            <w:pPr>
              <w:jc w:val="right"/>
              <w:rPr>
                <w:rFonts w:ascii="Arial" w:hAnsi="Arial" w:cs="Arial"/>
                <w:b/>
                <w:sz w:val="21"/>
                <w:szCs w:val="21"/>
              </w:rPr>
            </w:pPr>
          </w:p>
        </w:tc>
        <w:tc>
          <w:tcPr>
            <w:tcW w:w="3118" w:type="dxa"/>
            <w:vAlign w:val="center"/>
          </w:tcPr>
          <w:p w:rsidR="001C24C4" w:rsidRPr="000452AD" w:rsidRDefault="001C24C4" w:rsidP="00947F2F">
            <w:pPr>
              <w:jc w:val="right"/>
              <w:rPr>
                <w:rFonts w:ascii="Arial" w:hAnsi="Arial" w:cs="Arial"/>
                <w:b/>
                <w:sz w:val="21"/>
                <w:szCs w:val="21"/>
              </w:rPr>
            </w:pP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lastRenderedPageBreak/>
        <w:t>Otros gastos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Depreciaciones</w:t>
            </w:r>
          </w:p>
        </w:tc>
        <w:tc>
          <w:tcPr>
            <w:tcW w:w="3118" w:type="dxa"/>
            <w:vAlign w:val="center"/>
          </w:tcPr>
          <w:p w:rsidR="003F224C" w:rsidRPr="004D11EC" w:rsidRDefault="00572109" w:rsidP="00572109">
            <w:pPr>
              <w:jc w:val="right"/>
              <w:rPr>
                <w:rFonts w:ascii="Arial" w:hAnsi="Arial" w:cs="Arial"/>
                <w:sz w:val="21"/>
                <w:szCs w:val="21"/>
              </w:rPr>
            </w:pPr>
            <w:r>
              <w:rPr>
                <w:rFonts w:ascii="Arial" w:hAnsi="Arial" w:cs="Arial"/>
                <w:sz w:val="21"/>
                <w:szCs w:val="21"/>
              </w:rPr>
              <w:t>1,019,651.44</w:t>
            </w:r>
          </w:p>
        </w:tc>
      </w:tr>
    </w:tbl>
    <w:p w:rsidR="00657677" w:rsidRPr="00044063" w:rsidRDefault="000C0A8F">
      <w:pPr>
        <w:rPr>
          <w:rFonts w:ascii="Arial" w:hAnsi="Arial" w:cs="Arial"/>
          <w:sz w:val="21"/>
          <w:szCs w:val="21"/>
        </w:rPr>
      </w:pPr>
      <w:r>
        <w:rPr>
          <w:rFonts w:ascii="Arial" w:hAnsi="Arial" w:cs="Arial"/>
          <w:sz w:val="21"/>
          <w:szCs w:val="21"/>
        </w:rPr>
        <w:t>El total de egresos generados en el periodo fue por $</w:t>
      </w:r>
      <w:r w:rsidR="00572109">
        <w:rPr>
          <w:rFonts w:ascii="Arial" w:hAnsi="Arial" w:cs="Arial"/>
          <w:sz w:val="21"/>
          <w:szCs w:val="21"/>
        </w:rPr>
        <w:t xml:space="preserve"> 33</w:t>
      </w:r>
      <w:proofErr w:type="gramStart"/>
      <w:r w:rsidR="00D146CF">
        <w:rPr>
          <w:rFonts w:ascii="Arial" w:hAnsi="Arial" w:cs="Arial"/>
          <w:sz w:val="21"/>
          <w:szCs w:val="21"/>
        </w:rPr>
        <w:t>,</w:t>
      </w:r>
      <w:r w:rsidR="00572109">
        <w:rPr>
          <w:rFonts w:ascii="Arial" w:hAnsi="Arial" w:cs="Arial"/>
          <w:sz w:val="21"/>
          <w:szCs w:val="21"/>
        </w:rPr>
        <w:t>003,378.75</w:t>
      </w:r>
      <w:proofErr w:type="gramEnd"/>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Default="000C0A8F" w:rsidP="000C0A8F">
      <w:pPr>
        <w:rPr>
          <w:rFonts w:ascii="Arial" w:hAnsi="Arial" w:cs="Arial"/>
          <w:sz w:val="21"/>
          <w:szCs w:val="21"/>
        </w:rPr>
      </w:pPr>
      <w:r>
        <w:rPr>
          <w:rFonts w:ascii="Arial" w:hAnsi="Arial" w:cs="Arial"/>
          <w:sz w:val="21"/>
          <w:szCs w:val="21"/>
        </w:rPr>
        <w:t xml:space="preserve">Se refleja un </w:t>
      </w:r>
      <w:r w:rsidR="00BB4478">
        <w:rPr>
          <w:rFonts w:ascii="Arial" w:hAnsi="Arial" w:cs="Arial"/>
          <w:sz w:val="21"/>
          <w:szCs w:val="21"/>
        </w:rPr>
        <w:t>in</w:t>
      </w:r>
      <w:r w:rsidR="00773A13">
        <w:rPr>
          <w:rFonts w:ascii="Arial" w:hAnsi="Arial" w:cs="Arial"/>
          <w:sz w:val="21"/>
          <w:szCs w:val="21"/>
        </w:rPr>
        <w:t>cre</w:t>
      </w:r>
      <w:r w:rsidR="00044063">
        <w:rPr>
          <w:rFonts w:ascii="Arial" w:hAnsi="Arial" w:cs="Arial"/>
          <w:sz w:val="21"/>
          <w:szCs w:val="21"/>
        </w:rPr>
        <w:t>mento</w:t>
      </w:r>
      <w:r>
        <w:rPr>
          <w:rFonts w:ascii="Arial" w:hAnsi="Arial" w:cs="Arial"/>
          <w:sz w:val="21"/>
          <w:szCs w:val="21"/>
        </w:rPr>
        <w:t xml:space="preserve"> net</w:t>
      </w:r>
      <w:r w:rsidR="00044063">
        <w:rPr>
          <w:rFonts w:ascii="Arial" w:hAnsi="Arial" w:cs="Arial"/>
          <w:sz w:val="21"/>
          <w:szCs w:val="21"/>
        </w:rPr>
        <w:t>o</w:t>
      </w:r>
      <w:r>
        <w:rPr>
          <w:rFonts w:ascii="Arial" w:hAnsi="Arial" w:cs="Arial"/>
          <w:sz w:val="21"/>
          <w:szCs w:val="21"/>
        </w:rPr>
        <w:t xml:space="preserve"> en el efectivo por $</w:t>
      </w:r>
      <w:r w:rsidR="00CF21C2">
        <w:rPr>
          <w:rFonts w:ascii="Arial" w:hAnsi="Arial" w:cs="Arial"/>
          <w:sz w:val="21"/>
          <w:szCs w:val="21"/>
        </w:rPr>
        <w:t xml:space="preserve"> 1</w:t>
      </w:r>
      <w:proofErr w:type="gramStart"/>
      <w:r w:rsidR="00CF21C2">
        <w:rPr>
          <w:rFonts w:ascii="Arial" w:hAnsi="Arial" w:cs="Arial"/>
          <w:sz w:val="21"/>
          <w:szCs w:val="21"/>
        </w:rPr>
        <w:t>,591,990.56</w:t>
      </w:r>
      <w:proofErr w:type="gramEnd"/>
      <w:r w:rsidRPr="00572109">
        <w:rPr>
          <w:rFonts w:ascii="Arial" w:hAnsi="Arial" w:cs="Arial"/>
          <w:color w:val="FF0000"/>
          <w:sz w:val="21"/>
          <w:szCs w:val="21"/>
        </w:rPr>
        <w:t xml:space="preserve"> </w:t>
      </w:r>
      <w:r>
        <w:rPr>
          <w:rFonts w:ascii="Arial" w:hAnsi="Arial" w:cs="Arial"/>
          <w:sz w:val="21"/>
          <w:szCs w:val="21"/>
        </w:rPr>
        <w:t>integrad</w:t>
      </w:r>
      <w:r w:rsidR="00D146CF">
        <w:rPr>
          <w:rFonts w:ascii="Arial" w:hAnsi="Arial" w:cs="Arial"/>
          <w:sz w:val="21"/>
          <w:szCs w:val="21"/>
        </w:rPr>
        <w:t>o</w:t>
      </w:r>
      <w:r>
        <w:rPr>
          <w:rFonts w:ascii="Arial" w:hAnsi="Arial" w:cs="Arial"/>
          <w:sz w:val="21"/>
          <w:szCs w:val="21"/>
        </w:rPr>
        <w:t xml:space="preserve"> principalmente por </w:t>
      </w:r>
      <w:r w:rsidR="00044063">
        <w:rPr>
          <w:rFonts w:ascii="Arial" w:hAnsi="Arial" w:cs="Arial"/>
          <w:sz w:val="21"/>
          <w:szCs w:val="21"/>
        </w:rPr>
        <w:t>l</w:t>
      </w:r>
      <w:r w:rsidR="00467F0D">
        <w:rPr>
          <w:rFonts w:ascii="Arial" w:hAnsi="Arial" w:cs="Arial"/>
          <w:sz w:val="21"/>
          <w:szCs w:val="21"/>
        </w:rPr>
        <w:t xml:space="preserve">as </w:t>
      </w:r>
      <w:r w:rsidR="000B1B67">
        <w:rPr>
          <w:rFonts w:ascii="Arial" w:hAnsi="Arial" w:cs="Arial"/>
          <w:sz w:val="21"/>
          <w:szCs w:val="21"/>
        </w:rPr>
        <w:t>fuentes</w:t>
      </w:r>
      <w:r w:rsidR="00467F0D">
        <w:rPr>
          <w:rFonts w:ascii="Arial" w:hAnsi="Arial" w:cs="Arial"/>
          <w:sz w:val="21"/>
          <w:szCs w:val="21"/>
        </w:rPr>
        <w:t xml:space="preserve"> de efectivo en </w:t>
      </w:r>
      <w:r w:rsidR="00922B91">
        <w:rPr>
          <w:rFonts w:ascii="Arial" w:hAnsi="Arial" w:cs="Arial"/>
          <w:sz w:val="21"/>
          <w:szCs w:val="21"/>
        </w:rPr>
        <w:t>las siguientes cuentas</w:t>
      </w:r>
      <w:r w:rsidR="000529D5">
        <w:rPr>
          <w:rFonts w:ascii="Arial" w:hAnsi="Arial" w:cs="Arial"/>
          <w:sz w:val="21"/>
          <w:szCs w:val="21"/>
        </w:rPr>
        <w:t>:</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0529D5" w:rsidRPr="00B31772" w:rsidTr="000529D5">
        <w:tc>
          <w:tcPr>
            <w:tcW w:w="3936" w:type="dxa"/>
            <w:vAlign w:val="center"/>
          </w:tcPr>
          <w:p w:rsidR="000529D5" w:rsidRPr="00B31772" w:rsidRDefault="000529D5"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0529D5" w:rsidRPr="00B31772" w:rsidRDefault="000529D5" w:rsidP="00BD3E07">
            <w:pPr>
              <w:jc w:val="center"/>
              <w:rPr>
                <w:rFonts w:ascii="Arial" w:hAnsi="Arial" w:cs="Arial"/>
                <w:b/>
                <w:sz w:val="21"/>
                <w:szCs w:val="21"/>
              </w:rPr>
            </w:pPr>
            <w:r w:rsidRPr="00B31772">
              <w:rPr>
                <w:rFonts w:ascii="Arial" w:hAnsi="Arial" w:cs="Arial"/>
                <w:b/>
                <w:sz w:val="21"/>
                <w:szCs w:val="21"/>
              </w:rPr>
              <w:t>Importe</w:t>
            </w:r>
          </w:p>
        </w:tc>
      </w:tr>
      <w:tr w:rsidR="000529D5" w:rsidRPr="004D11EC" w:rsidTr="000529D5">
        <w:tc>
          <w:tcPr>
            <w:tcW w:w="3936" w:type="dxa"/>
            <w:vAlign w:val="center"/>
          </w:tcPr>
          <w:p w:rsidR="000529D5" w:rsidRPr="004D11EC" w:rsidRDefault="000529D5" w:rsidP="00DD0CC0">
            <w:pPr>
              <w:jc w:val="left"/>
              <w:rPr>
                <w:rFonts w:ascii="Arial" w:hAnsi="Arial" w:cs="Arial"/>
                <w:sz w:val="21"/>
                <w:szCs w:val="21"/>
              </w:rPr>
            </w:pPr>
          </w:p>
        </w:tc>
        <w:tc>
          <w:tcPr>
            <w:tcW w:w="3118" w:type="dxa"/>
            <w:vAlign w:val="center"/>
          </w:tcPr>
          <w:p w:rsidR="000529D5" w:rsidRPr="004D11EC" w:rsidRDefault="000529D5" w:rsidP="004B41AD">
            <w:pPr>
              <w:jc w:val="right"/>
              <w:rPr>
                <w:rFonts w:ascii="Arial" w:hAnsi="Arial" w:cs="Arial"/>
                <w:sz w:val="21"/>
                <w:szCs w:val="21"/>
              </w:rPr>
            </w:pPr>
          </w:p>
        </w:tc>
      </w:tr>
      <w:tr w:rsidR="000B1B67" w:rsidRPr="007B794F" w:rsidTr="00510D76">
        <w:tc>
          <w:tcPr>
            <w:tcW w:w="3936" w:type="dxa"/>
            <w:vAlign w:val="center"/>
          </w:tcPr>
          <w:p w:rsidR="000B1B67" w:rsidRPr="004D11EC" w:rsidRDefault="000B1B67" w:rsidP="000B1B67">
            <w:pPr>
              <w:jc w:val="left"/>
              <w:rPr>
                <w:rFonts w:ascii="Arial" w:hAnsi="Arial" w:cs="Arial"/>
                <w:sz w:val="21"/>
                <w:szCs w:val="21"/>
              </w:rPr>
            </w:pPr>
            <w:r>
              <w:rPr>
                <w:rFonts w:ascii="Arial" w:hAnsi="Arial" w:cs="Arial"/>
                <w:sz w:val="21"/>
                <w:szCs w:val="21"/>
              </w:rPr>
              <w:t>Resultados del Ejercicio</w:t>
            </w:r>
          </w:p>
        </w:tc>
        <w:tc>
          <w:tcPr>
            <w:tcW w:w="3118" w:type="dxa"/>
            <w:vAlign w:val="center"/>
          </w:tcPr>
          <w:p w:rsidR="000B1B67" w:rsidRPr="007B794F" w:rsidRDefault="000B1B67" w:rsidP="000B1B67">
            <w:pPr>
              <w:jc w:val="right"/>
              <w:rPr>
                <w:rFonts w:ascii="Arial" w:hAnsi="Arial" w:cs="Arial"/>
                <w:sz w:val="21"/>
                <w:szCs w:val="21"/>
              </w:rPr>
            </w:pPr>
            <w:r>
              <w:rPr>
                <w:rFonts w:ascii="Arial" w:hAnsi="Arial" w:cs="Arial"/>
                <w:sz w:val="21"/>
                <w:szCs w:val="21"/>
              </w:rPr>
              <w:t>1,351,321.10</w:t>
            </w:r>
          </w:p>
        </w:tc>
      </w:tr>
      <w:tr w:rsidR="000B1B67" w:rsidRPr="007B794F" w:rsidTr="00510D76">
        <w:tc>
          <w:tcPr>
            <w:tcW w:w="3936" w:type="dxa"/>
            <w:vAlign w:val="center"/>
          </w:tcPr>
          <w:p w:rsidR="000B1B67" w:rsidRDefault="000B1B67" w:rsidP="000B1B67">
            <w:pPr>
              <w:jc w:val="left"/>
              <w:rPr>
                <w:rFonts w:ascii="Arial" w:hAnsi="Arial" w:cs="Arial"/>
                <w:sz w:val="21"/>
                <w:szCs w:val="21"/>
              </w:rPr>
            </w:pPr>
            <w:r>
              <w:rPr>
                <w:rFonts w:ascii="Arial" w:hAnsi="Arial" w:cs="Arial"/>
                <w:sz w:val="21"/>
                <w:szCs w:val="21"/>
              </w:rPr>
              <w:t>Deudores Diversos</w:t>
            </w:r>
          </w:p>
        </w:tc>
        <w:tc>
          <w:tcPr>
            <w:tcW w:w="3118" w:type="dxa"/>
            <w:vAlign w:val="bottom"/>
          </w:tcPr>
          <w:p w:rsidR="000B1B67" w:rsidRPr="007B794F" w:rsidRDefault="000B1B67" w:rsidP="000B1B67">
            <w:pPr>
              <w:jc w:val="right"/>
              <w:rPr>
                <w:rFonts w:ascii="Arial" w:hAnsi="Arial" w:cs="Arial"/>
                <w:color w:val="000000"/>
                <w:sz w:val="21"/>
                <w:szCs w:val="21"/>
              </w:rPr>
            </w:pPr>
            <w:r>
              <w:rPr>
                <w:rFonts w:ascii="Arial" w:hAnsi="Arial" w:cs="Arial"/>
                <w:color w:val="000000"/>
                <w:sz w:val="21"/>
                <w:szCs w:val="21"/>
              </w:rPr>
              <w:t>389,619.11</w:t>
            </w:r>
            <w:r w:rsidRPr="007B794F">
              <w:rPr>
                <w:rFonts w:ascii="Arial" w:hAnsi="Arial" w:cs="Arial"/>
                <w:color w:val="000000"/>
                <w:sz w:val="21"/>
                <w:szCs w:val="21"/>
              </w:rPr>
              <w:t xml:space="preserve"> </w:t>
            </w:r>
          </w:p>
        </w:tc>
      </w:tr>
      <w:tr w:rsidR="000529D5" w:rsidRPr="004D11EC" w:rsidTr="00BB4478">
        <w:tc>
          <w:tcPr>
            <w:tcW w:w="3936" w:type="dxa"/>
            <w:vAlign w:val="center"/>
          </w:tcPr>
          <w:p w:rsidR="000529D5" w:rsidRPr="004D11EC" w:rsidRDefault="000529D5" w:rsidP="000B1B67">
            <w:pPr>
              <w:jc w:val="left"/>
              <w:rPr>
                <w:rFonts w:ascii="Arial" w:hAnsi="Arial" w:cs="Arial"/>
                <w:sz w:val="21"/>
                <w:szCs w:val="21"/>
              </w:rPr>
            </w:pPr>
          </w:p>
        </w:tc>
        <w:tc>
          <w:tcPr>
            <w:tcW w:w="3118" w:type="dxa"/>
            <w:shd w:val="clear" w:color="auto" w:fill="auto"/>
            <w:vAlign w:val="center"/>
          </w:tcPr>
          <w:p w:rsidR="000529D5" w:rsidRPr="006437D6" w:rsidRDefault="000529D5" w:rsidP="000B1B67">
            <w:pPr>
              <w:jc w:val="right"/>
              <w:rPr>
                <w:rFonts w:ascii="Arial" w:hAnsi="Arial" w:cs="Arial"/>
                <w:sz w:val="21"/>
                <w:szCs w:val="21"/>
                <w:highlight w:val="lightGray"/>
              </w:rPr>
            </w:pPr>
          </w:p>
        </w:tc>
      </w:tr>
    </w:tbl>
    <w:p w:rsidR="009C099C" w:rsidRDefault="009C099C" w:rsidP="00510D76">
      <w:pPr>
        <w:jc w:val="cente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el almacén de materiales por $</w:t>
      </w:r>
      <w:r w:rsidR="008074CE">
        <w:rPr>
          <w:rFonts w:ascii="Arial" w:hAnsi="Arial" w:cs="Arial"/>
          <w:sz w:val="21"/>
          <w:szCs w:val="21"/>
        </w:rPr>
        <w:t>857</w:t>
      </w:r>
      <w:r w:rsidR="00D146CF">
        <w:rPr>
          <w:rFonts w:ascii="Arial" w:hAnsi="Arial" w:cs="Arial"/>
          <w:sz w:val="21"/>
          <w:szCs w:val="21"/>
        </w:rPr>
        <w:t>,</w:t>
      </w:r>
      <w:r w:rsidR="008074CE">
        <w:rPr>
          <w:rFonts w:ascii="Arial" w:hAnsi="Arial" w:cs="Arial"/>
          <w:sz w:val="21"/>
          <w:szCs w:val="21"/>
        </w:rPr>
        <w:t>78</w:t>
      </w:r>
      <w:r w:rsidR="00BA6426">
        <w:rPr>
          <w:rFonts w:ascii="Arial" w:hAnsi="Arial" w:cs="Arial"/>
          <w:sz w:val="21"/>
          <w:szCs w:val="21"/>
        </w:rPr>
        <w:t>6</w:t>
      </w:r>
      <w:r w:rsidR="008074CE">
        <w:rPr>
          <w:rFonts w:ascii="Arial" w:hAnsi="Arial" w:cs="Arial"/>
          <w:sz w:val="21"/>
          <w:szCs w:val="21"/>
        </w:rPr>
        <w:t>.39</w:t>
      </w:r>
      <w:r>
        <w:rPr>
          <w:rFonts w:ascii="Arial" w:hAnsi="Arial" w:cs="Arial"/>
          <w:sz w:val="21"/>
          <w:szCs w:val="21"/>
        </w:rPr>
        <w:t xml:space="preserve"> al </w:t>
      </w:r>
      <w:r w:rsidR="00B7151A">
        <w:rPr>
          <w:rFonts w:ascii="Arial" w:hAnsi="Arial" w:cs="Arial"/>
          <w:sz w:val="21"/>
          <w:szCs w:val="21"/>
        </w:rPr>
        <w:t>3</w:t>
      </w:r>
      <w:r w:rsidR="001D3DBF">
        <w:rPr>
          <w:rFonts w:ascii="Arial" w:hAnsi="Arial" w:cs="Arial"/>
          <w:sz w:val="21"/>
          <w:szCs w:val="21"/>
        </w:rPr>
        <w:t>0</w:t>
      </w:r>
      <w:r w:rsidR="00B7151A">
        <w:rPr>
          <w:rFonts w:ascii="Arial" w:hAnsi="Arial" w:cs="Arial"/>
          <w:sz w:val="21"/>
          <w:szCs w:val="21"/>
        </w:rPr>
        <w:t xml:space="preserve"> de </w:t>
      </w:r>
      <w:r w:rsidR="001D3DBF">
        <w:rPr>
          <w:rFonts w:ascii="Arial" w:hAnsi="Arial" w:cs="Arial"/>
          <w:sz w:val="21"/>
          <w:szCs w:val="21"/>
        </w:rPr>
        <w:t>junio</w:t>
      </w:r>
      <w:r>
        <w:rPr>
          <w:rFonts w:ascii="Arial" w:hAnsi="Arial" w:cs="Arial"/>
          <w:sz w:val="21"/>
          <w:szCs w:val="21"/>
        </w:rPr>
        <w:t xml:space="preserve"> de 201</w:t>
      </w:r>
      <w:r w:rsidR="007A23D3">
        <w:rPr>
          <w:rFonts w:ascii="Arial" w:hAnsi="Arial" w:cs="Arial"/>
          <w:sz w:val="21"/>
          <w:szCs w:val="21"/>
        </w:rPr>
        <w:t>5</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B31772" w:rsidTr="00BD3E07">
        <w:tc>
          <w:tcPr>
            <w:tcW w:w="3936"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Importe</w:t>
            </w:r>
          </w:p>
        </w:tc>
      </w:tr>
      <w:tr w:rsidR="005F3231" w:rsidRPr="00E143A7" w:rsidTr="00BD3E07">
        <w:tc>
          <w:tcPr>
            <w:tcW w:w="3936" w:type="dxa"/>
            <w:vAlign w:val="center"/>
          </w:tcPr>
          <w:p w:rsidR="005F3231" w:rsidRPr="004D11EC" w:rsidRDefault="005F3231" w:rsidP="00BD3E07">
            <w:pPr>
              <w:jc w:val="left"/>
              <w:rPr>
                <w:rFonts w:ascii="Arial" w:hAnsi="Arial" w:cs="Arial"/>
                <w:sz w:val="21"/>
                <w:szCs w:val="21"/>
              </w:rPr>
            </w:pPr>
            <w:r>
              <w:rPr>
                <w:rFonts w:ascii="Arial" w:hAnsi="Arial" w:cs="Arial"/>
                <w:sz w:val="21"/>
                <w:szCs w:val="21"/>
              </w:rPr>
              <w:t>Ley de Ingresos Estimada</w:t>
            </w:r>
          </w:p>
        </w:tc>
        <w:tc>
          <w:tcPr>
            <w:tcW w:w="3118" w:type="dxa"/>
            <w:vAlign w:val="center"/>
          </w:tcPr>
          <w:p w:rsidR="005F3231" w:rsidRPr="007B794F" w:rsidRDefault="007A23D3" w:rsidP="007A23D3">
            <w:pPr>
              <w:jc w:val="right"/>
              <w:rPr>
                <w:rFonts w:ascii="Arial" w:hAnsi="Arial" w:cs="Arial"/>
                <w:sz w:val="21"/>
                <w:szCs w:val="21"/>
              </w:rPr>
            </w:pPr>
            <w:r>
              <w:rPr>
                <w:rFonts w:ascii="Arial" w:hAnsi="Arial" w:cs="Arial"/>
                <w:sz w:val="21"/>
                <w:szCs w:val="21"/>
              </w:rPr>
              <w:t>81</w:t>
            </w:r>
            <w:r w:rsidR="007B794F">
              <w:rPr>
                <w:rFonts w:ascii="Arial" w:hAnsi="Arial" w:cs="Arial"/>
                <w:sz w:val="21"/>
                <w:szCs w:val="21"/>
              </w:rPr>
              <w:t>,</w:t>
            </w:r>
            <w:r>
              <w:rPr>
                <w:rFonts w:ascii="Arial" w:hAnsi="Arial" w:cs="Arial"/>
                <w:sz w:val="21"/>
                <w:szCs w:val="21"/>
              </w:rPr>
              <w:t>512</w:t>
            </w:r>
            <w:r w:rsidR="007B794F">
              <w:rPr>
                <w:rFonts w:ascii="Arial" w:hAnsi="Arial" w:cs="Arial"/>
                <w:sz w:val="21"/>
                <w:szCs w:val="21"/>
              </w:rPr>
              <w:t>,</w:t>
            </w:r>
            <w:r>
              <w:rPr>
                <w:rFonts w:ascii="Arial" w:hAnsi="Arial" w:cs="Arial"/>
                <w:sz w:val="21"/>
                <w:szCs w:val="21"/>
              </w:rPr>
              <w:t>352</w:t>
            </w:r>
            <w:r w:rsidR="007B794F" w:rsidRPr="007B794F">
              <w:rPr>
                <w:rFonts w:ascii="Arial" w:hAnsi="Arial" w:cs="Arial"/>
                <w:sz w:val="21"/>
                <w:szCs w:val="21"/>
              </w:rPr>
              <w:t>.</w:t>
            </w:r>
            <w:r>
              <w:rPr>
                <w:rFonts w:ascii="Arial" w:hAnsi="Arial" w:cs="Arial"/>
                <w:sz w:val="21"/>
                <w:szCs w:val="21"/>
              </w:rPr>
              <w:t>00</w:t>
            </w:r>
          </w:p>
        </w:tc>
      </w:tr>
      <w:tr w:rsidR="007B794F" w:rsidRPr="002C4B20" w:rsidTr="00BF5C54">
        <w:tc>
          <w:tcPr>
            <w:tcW w:w="3936" w:type="dxa"/>
            <w:vAlign w:val="center"/>
          </w:tcPr>
          <w:p w:rsidR="007B794F" w:rsidRDefault="007B794F" w:rsidP="005F3231">
            <w:pPr>
              <w:jc w:val="left"/>
              <w:rPr>
                <w:rFonts w:ascii="Arial" w:hAnsi="Arial" w:cs="Arial"/>
                <w:sz w:val="21"/>
                <w:szCs w:val="21"/>
              </w:rPr>
            </w:pPr>
            <w:r>
              <w:rPr>
                <w:rFonts w:ascii="Arial" w:hAnsi="Arial" w:cs="Arial"/>
                <w:sz w:val="21"/>
                <w:szCs w:val="21"/>
              </w:rPr>
              <w:t>Ley de Ingresos por Ejecutar</w:t>
            </w:r>
          </w:p>
        </w:tc>
        <w:tc>
          <w:tcPr>
            <w:tcW w:w="3118" w:type="dxa"/>
            <w:vAlign w:val="bottom"/>
          </w:tcPr>
          <w:p w:rsidR="007B794F" w:rsidRPr="007B794F" w:rsidRDefault="00BA6426" w:rsidP="00BA6426">
            <w:pPr>
              <w:jc w:val="right"/>
              <w:rPr>
                <w:rFonts w:ascii="Arial" w:hAnsi="Arial" w:cs="Arial"/>
                <w:color w:val="000000"/>
                <w:sz w:val="21"/>
                <w:szCs w:val="21"/>
              </w:rPr>
            </w:pPr>
            <w:r>
              <w:rPr>
                <w:rFonts w:ascii="Arial" w:hAnsi="Arial" w:cs="Arial"/>
                <w:color w:val="000000"/>
                <w:sz w:val="21"/>
                <w:szCs w:val="21"/>
              </w:rPr>
              <w:t>44</w:t>
            </w:r>
            <w:r w:rsidR="00D146CF">
              <w:rPr>
                <w:rFonts w:ascii="Arial" w:hAnsi="Arial" w:cs="Arial"/>
                <w:color w:val="000000"/>
                <w:sz w:val="21"/>
                <w:szCs w:val="21"/>
              </w:rPr>
              <w:t>,</w:t>
            </w:r>
            <w:r>
              <w:rPr>
                <w:rFonts w:ascii="Arial" w:hAnsi="Arial" w:cs="Arial"/>
                <w:color w:val="000000"/>
                <w:sz w:val="21"/>
                <w:szCs w:val="21"/>
              </w:rPr>
              <w:t>580</w:t>
            </w:r>
            <w:r w:rsidR="00D146CF">
              <w:rPr>
                <w:rFonts w:ascii="Arial" w:hAnsi="Arial" w:cs="Arial"/>
                <w:color w:val="000000"/>
                <w:sz w:val="21"/>
                <w:szCs w:val="21"/>
              </w:rPr>
              <w:t>,</w:t>
            </w:r>
            <w:r>
              <w:rPr>
                <w:rFonts w:ascii="Arial" w:hAnsi="Arial" w:cs="Arial"/>
                <w:color w:val="000000"/>
                <w:sz w:val="21"/>
                <w:szCs w:val="21"/>
              </w:rPr>
              <w:t>866.92</w:t>
            </w:r>
            <w:r w:rsidR="007B794F" w:rsidRPr="007B794F">
              <w:rPr>
                <w:rFonts w:ascii="Arial" w:hAnsi="Arial" w:cs="Arial"/>
                <w:color w:val="000000"/>
                <w:sz w:val="21"/>
                <w:szCs w:val="21"/>
              </w:rPr>
              <w:t xml:space="preserve"> </w:t>
            </w:r>
          </w:p>
        </w:tc>
      </w:tr>
      <w:tr w:rsidR="005F3231" w:rsidRPr="002C4B20" w:rsidTr="00BD3E07">
        <w:tc>
          <w:tcPr>
            <w:tcW w:w="3936" w:type="dxa"/>
            <w:vAlign w:val="center"/>
          </w:tcPr>
          <w:p w:rsidR="005F3231" w:rsidRPr="004D11EC" w:rsidRDefault="005F3231" w:rsidP="00BD3E07">
            <w:pPr>
              <w:jc w:val="left"/>
              <w:rPr>
                <w:rFonts w:ascii="Arial" w:hAnsi="Arial" w:cs="Arial"/>
                <w:sz w:val="21"/>
                <w:szCs w:val="21"/>
              </w:rPr>
            </w:pPr>
            <w:r>
              <w:rPr>
                <w:rFonts w:ascii="Arial" w:hAnsi="Arial" w:cs="Arial"/>
                <w:sz w:val="21"/>
                <w:szCs w:val="21"/>
              </w:rPr>
              <w:t>Ley de Ingresos Recaudada</w:t>
            </w:r>
          </w:p>
        </w:tc>
        <w:tc>
          <w:tcPr>
            <w:tcW w:w="3118" w:type="dxa"/>
            <w:vAlign w:val="center"/>
          </w:tcPr>
          <w:p w:rsidR="005F3231" w:rsidRPr="007B794F" w:rsidRDefault="00BA6426" w:rsidP="00BA6426">
            <w:pPr>
              <w:jc w:val="right"/>
              <w:rPr>
                <w:rFonts w:ascii="Arial" w:hAnsi="Arial" w:cs="Arial"/>
                <w:sz w:val="21"/>
                <w:szCs w:val="21"/>
              </w:rPr>
            </w:pPr>
            <w:r>
              <w:rPr>
                <w:rFonts w:ascii="Arial" w:hAnsi="Arial" w:cs="Arial"/>
                <w:color w:val="000000"/>
                <w:sz w:val="21"/>
                <w:szCs w:val="21"/>
              </w:rPr>
              <w:t>34</w:t>
            </w:r>
            <w:r w:rsidR="00D146CF">
              <w:rPr>
                <w:rFonts w:ascii="Arial" w:hAnsi="Arial" w:cs="Arial"/>
                <w:color w:val="000000"/>
                <w:sz w:val="21"/>
                <w:szCs w:val="21"/>
              </w:rPr>
              <w:t>,</w:t>
            </w:r>
            <w:r>
              <w:rPr>
                <w:rFonts w:ascii="Arial" w:hAnsi="Arial" w:cs="Arial"/>
                <w:color w:val="000000"/>
                <w:sz w:val="21"/>
                <w:szCs w:val="21"/>
              </w:rPr>
              <w:t>006</w:t>
            </w:r>
            <w:r w:rsidR="00D146CF">
              <w:rPr>
                <w:rFonts w:ascii="Arial" w:hAnsi="Arial" w:cs="Arial"/>
                <w:color w:val="000000"/>
                <w:sz w:val="21"/>
                <w:szCs w:val="21"/>
              </w:rPr>
              <w:t>,</w:t>
            </w:r>
            <w:r>
              <w:rPr>
                <w:rFonts w:ascii="Arial" w:hAnsi="Arial" w:cs="Arial"/>
                <w:color w:val="000000"/>
                <w:sz w:val="21"/>
                <w:szCs w:val="21"/>
              </w:rPr>
              <w:t>991.73</w:t>
            </w:r>
          </w:p>
        </w:tc>
      </w:tr>
      <w:tr w:rsidR="00233983" w:rsidRPr="002C4B20" w:rsidTr="00BD3E07">
        <w:tc>
          <w:tcPr>
            <w:tcW w:w="3936" w:type="dxa"/>
            <w:vAlign w:val="center"/>
          </w:tcPr>
          <w:p w:rsidR="00233983" w:rsidRDefault="00233983" w:rsidP="00BD3E07">
            <w:pPr>
              <w:jc w:val="left"/>
              <w:rPr>
                <w:rFonts w:ascii="Arial" w:hAnsi="Arial" w:cs="Arial"/>
                <w:sz w:val="21"/>
                <w:szCs w:val="21"/>
              </w:rPr>
            </w:pPr>
            <w:r>
              <w:rPr>
                <w:rFonts w:ascii="Arial" w:hAnsi="Arial" w:cs="Arial"/>
                <w:sz w:val="21"/>
                <w:szCs w:val="21"/>
              </w:rPr>
              <w:t>Ley de Ingresos Devengada</w:t>
            </w:r>
          </w:p>
        </w:tc>
        <w:tc>
          <w:tcPr>
            <w:tcW w:w="3118" w:type="dxa"/>
            <w:vAlign w:val="center"/>
          </w:tcPr>
          <w:p w:rsidR="00233983" w:rsidRPr="007B794F" w:rsidRDefault="004A3589" w:rsidP="00BA6426">
            <w:pPr>
              <w:jc w:val="right"/>
              <w:rPr>
                <w:rFonts w:ascii="Arial" w:hAnsi="Arial" w:cs="Arial"/>
                <w:sz w:val="21"/>
                <w:szCs w:val="21"/>
              </w:rPr>
            </w:pPr>
            <w:r>
              <w:rPr>
                <w:rFonts w:ascii="Arial" w:hAnsi="Arial" w:cs="Arial"/>
                <w:color w:val="000000"/>
                <w:sz w:val="21"/>
                <w:szCs w:val="21"/>
              </w:rPr>
              <w:t>2</w:t>
            </w:r>
            <w:r w:rsidR="00D146CF">
              <w:rPr>
                <w:rFonts w:ascii="Arial" w:hAnsi="Arial" w:cs="Arial"/>
                <w:color w:val="000000"/>
                <w:sz w:val="21"/>
                <w:szCs w:val="21"/>
              </w:rPr>
              <w:t>,</w:t>
            </w:r>
            <w:r w:rsidR="00BA6426">
              <w:rPr>
                <w:rFonts w:ascii="Arial" w:hAnsi="Arial" w:cs="Arial"/>
                <w:color w:val="000000"/>
                <w:sz w:val="21"/>
                <w:szCs w:val="21"/>
              </w:rPr>
              <w:t>924</w:t>
            </w:r>
            <w:r w:rsidR="00D146CF">
              <w:rPr>
                <w:rFonts w:ascii="Arial" w:hAnsi="Arial" w:cs="Arial"/>
                <w:color w:val="000000"/>
                <w:sz w:val="21"/>
                <w:szCs w:val="21"/>
              </w:rPr>
              <w:t>,</w:t>
            </w:r>
            <w:r w:rsidR="00BA6426">
              <w:rPr>
                <w:rFonts w:ascii="Arial" w:hAnsi="Arial" w:cs="Arial"/>
                <w:color w:val="000000"/>
                <w:sz w:val="21"/>
                <w:szCs w:val="21"/>
              </w:rPr>
              <w:t>493.35</w:t>
            </w:r>
          </w:p>
        </w:tc>
      </w:tr>
    </w:tbl>
    <w:p w:rsidR="00657677" w:rsidRPr="00BD3E07" w:rsidRDefault="005F3231" w:rsidP="005F3231">
      <w:pPr>
        <w:pStyle w:val="Prrafodelista"/>
        <w:numPr>
          <w:ilvl w:val="0"/>
          <w:numId w:val="9"/>
        </w:numPr>
        <w:rPr>
          <w:rFonts w:ascii="Arial" w:hAnsi="Arial" w:cs="Arial"/>
          <w:sz w:val="21"/>
          <w:szCs w:val="21"/>
        </w:rPr>
      </w:pPr>
      <w:r w:rsidRPr="00BD3E07">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B31772" w:rsidTr="00556471">
        <w:tc>
          <w:tcPr>
            <w:tcW w:w="5070"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Importe</w:t>
            </w:r>
          </w:p>
        </w:tc>
      </w:tr>
      <w:tr w:rsidR="007B794F" w:rsidRPr="00AE3245"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w:t>
            </w:r>
          </w:p>
        </w:tc>
        <w:tc>
          <w:tcPr>
            <w:tcW w:w="3118" w:type="dxa"/>
            <w:vAlign w:val="center"/>
          </w:tcPr>
          <w:p w:rsidR="007B794F" w:rsidRPr="00AE3245" w:rsidRDefault="007A23D3" w:rsidP="0091668E">
            <w:pPr>
              <w:jc w:val="right"/>
              <w:rPr>
                <w:rFonts w:ascii="Arial" w:hAnsi="Arial" w:cs="Arial"/>
                <w:sz w:val="21"/>
                <w:szCs w:val="21"/>
              </w:rPr>
            </w:pPr>
            <w:r>
              <w:rPr>
                <w:rFonts w:ascii="Arial" w:hAnsi="Arial" w:cs="Arial"/>
                <w:color w:val="000000"/>
                <w:sz w:val="21"/>
                <w:szCs w:val="21"/>
              </w:rPr>
              <w:t>81</w:t>
            </w:r>
            <w:r w:rsidR="007B794F" w:rsidRPr="00AE3245">
              <w:rPr>
                <w:rFonts w:ascii="Arial" w:hAnsi="Arial" w:cs="Arial"/>
                <w:color w:val="000000"/>
                <w:sz w:val="21"/>
                <w:szCs w:val="21"/>
              </w:rPr>
              <w:t>,</w:t>
            </w:r>
            <w:r>
              <w:rPr>
                <w:rFonts w:ascii="Arial" w:hAnsi="Arial" w:cs="Arial"/>
                <w:color w:val="000000"/>
                <w:sz w:val="21"/>
                <w:szCs w:val="21"/>
              </w:rPr>
              <w:t>51</w:t>
            </w:r>
            <w:r w:rsidR="0091668E">
              <w:rPr>
                <w:rFonts w:ascii="Arial" w:hAnsi="Arial" w:cs="Arial"/>
                <w:color w:val="000000"/>
                <w:sz w:val="21"/>
                <w:szCs w:val="21"/>
              </w:rPr>
              <w:t>2,352.00</w:t>
            </w:r>
          </w:p>
        </w:tc>
      </w:tr>
      <w:tr w:rsidR="007B794F" w:rsidRPr="00AE3245"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 de Gasto</w:t>
            </w:r>
          </w:p>
        </w:tc>
        <w:tc>
          <w:tcPr>
            <w:tcW w:w="3118" w:type="dxa"/>
            <w:vAlign w:val="center"/>
          </w:tcPr>
          <w:p w:rsidR="007B794F" w:rsidRPr="00AE3245" w:rsidRDefault="007B794F" w:rsidP="0091668E">
            <w:pPr>
              <w:jc w:val="right"/>
              <w:rPr>
                <w:rFonts w:ascii="Arial" w:hAnsi="Arial" w:cs="Arial"/>
                <w:sz w:val="21"/>
                <w:szCs w:val="21"/>
              </w:rPr>
            </w:pPr>
            <w:r w:rsidRPr="00AE3245">
              <w:rPr>
                <w:rFonts w:ascii="Arial" w:hAnsi="Arial" w:cs="Arial"/>
                <w:color w:val="000000"/>
                <w:sz w:val="21"/>
                <w:szCs w:val="21"/>
              </w:rPr>
              <w:t>8</w:t>
            </w:r>
            <w:r w:rsidR="007A23D3">
              <w:rPr>
                <w:rFonts w:ascii="Arial" w:hAnsi="Arial" w:cs="Arial"/>
                <w:color w:val="000000"/>
                <w:sz w:val="21"/>
                <w:szCs w:val="21"/>
              </w:rPr>
              <w:t>1</w:t>
            </w:r>
            <w:r w:rsidRPr="00AE3245">
              <w:rPr>
                <w:rFonts w:ascii="Arial" w:hAnsi="Arial" w:cs="Arial"/>
                <w:color w:val="000000"/>
                <w:sz w:val="21"/>
                <w:szCs w:val="21"/>
              </w:rPr>
              <w:t>,</w:t>
            </w:r>
            <w:r w:rsidR="007A23D3">
              <w:rPr>
                <w:rFonts w:ascii="Arial" w:hAnsi="Arial" w:cs="Arial"/>
                <w:color w:val="000000"/>
                <w:sz w:val="21"/>
                <w:szCs w:val="21"/>
              </w:rPr>
              <w:t>51</w:t>
            </w:r>
            <w:r w:rsidR="0091668E">
              <w:rPr>
                <w:rFonts w:ascii="Arial" w:hAnsi="Arial" w:cs="Arial"/>
                <w:color w:val="000000"/>
                <w:sz w:val="21"/>
                <w:szCs w:val="21"/>
              </w:rPr>
              <w:t>2</w:t>
            </w:r>
            <w:r w:rsidRPr="00AE3245">
              <w:rPr>
                <w:rFonts w:ascii="Arial" w:hAnsi="Arial" w:cs="Arial"/>
                <w:color w:val="000000"/>
                <w:sz w:val="21"/>
                <w:szCs w:val="21"/>
              </w:rPr>
              <w:t>,</w:t>
            </w:r>
            <w:r w:rsidR="0091668E">
              <w:rPr>
                <w:rFonts w:ascii="Arial" w:hAnsi="Arial" w:cs="Arial"/>
                <w:color w:val="000000"/>
                <w:sz w:val="21"/>
                <w:szCs w:val="21"/>
              </w:rPr>
              <w:t>352.00</w:t>
            </w:r>
          </w:p>
        </w:tc>
      </w:tr>
      <w:tr w:rsidR="007B794F" w:rsidRPr="00AE3245"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 de Inter</w:t>
            </w:r>
          </w:p>
        </w:tc>
        <w:tc>
          <w:tcPr>
            <w:tcW w:w="3118" w:type="dxa"/>
            <w:vAlign w:val="center"/>
          </w:tcPr>
          <w:p w:rsidR="007B794F" w:rsidRPr="00AE3245" w:rsidRDefault="007A23D3" w:rsidP="007A23D3">
            <w:pPr>
              <w:jc w:val="right"/>
              <w:rPr>
                <w:rFonts w:ascii="Arial" w:hAnsi="Arial" w:cs="Arial"/>
                <w:sz w:val="21"/>
                <w:szCs w:val="21"/>
              </w:rPr>
            </w:pPr>
            <w:r>
              <w:rPr>
                <w:rFonts w:ascii="Arial" w:hAnsi="Arial" w:cs="Arial"/>
                <w:color w:val="000000"/>
                <w:sz w:val="21"/>
                <w:szCs w:val="21"/>
              </w:rPr>
              <w:t>0.00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 de Biene</w:t>
            </w:r>
            <w:r>
              <w:rPr>
                <w:rFonts w:ascii="Arial" w:hAnsi="Arial" w:cs="Arial"/>
                <w:sz w:val="21"/>
                <w:szCs w:val="21"/>
              </w:rPr>
              <w:t>s</w:t>
            </w:r>
          </w:p>
        </w:tc>
        <w:tc>
          <w:tcPr>
            <w:tcW w:w="3118" w:type="dxa"/>
            <w:vAlign w:val="center"/>
          </w:tcPr>
          <w:p w:rsidR="007B794F" w:rsidRPr="00AE3245" w:rsidRDefault="007A23D3" w:rsidP="00AE3245">
            <w:pPr>
              <w:jc w:val="right"/>
              <w:rPr>
                <w:rFonts w:ascii="Arial" w:hAnsi="Arial" w:cs="Arial"/>
                <w:sz w:val="21"/>
                <w:szCs w:val="21"/>
              </w:rPr>
            </w:pPr>
            <w:r>
              <w:rPr>
                <w:rFonts w:ascii="Arial" w:hAnsi="Arial" w:cs="Arial"/>
                <w:color w:val="000000"/>
                <w:sz w:val="21"/>
                <w:szCs w:val="21"/>
              </w:rPr>
              <w:t>0</w:t>
            </w:r>
            <w:r w:rsidR="007B794F" w:rsidRPr="00AE3245">
              <w:rPr>
                <w:rFonts w:ascii="Arial" w:hAnsi="Arial" w:cs="Arial"/>
                <w:color w:val="000000"/>
                <w:sz w:val="21"/>
                <w:szCs w:val="21"/>
              </w:rPr>
              <w:t>.00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lastRenderedPageBreak/>
              <w:t>PRESUPUESTO DE EGRESOS POR EJERCER</w:t>
            </w:r>
          </w:p>
        </w:tc>
        <w:tc>
          <w:tcPr>
            <w:tcW w:w="3118" w:type="dxa"/>
            <w:vAlign w:val="center"/>
          </w:tcPr>
          <w:p w:rsidR="007B794F" w:rsidRPr="00AE3245" w:rsidRDefault="00BA6426" w:rsidP="00BA6426">
            <w:pPr>
              <w:jc w:val="right"/>
              <w:rPr>
                <w:rFonts w:ascii="Arial" w:hAnsi="Arial" w:cs="Arial"/>
                <w:sz w:val="21"/>
                <w:szCs w:val="21"/>
              </w:rPr>
            </w:pPr>
            <w:r>
              <w:rPr>
                <w:rFonts w:ascii="Arial" w:hAnsi="Arial" w:cs="Arial"/>
                <w:color w:val="000000"/>
                <w:sz w:val="21"/>
                <w:szCs w:val="21"/>
              </w:rPr>
              <w:t>49</w:t>
            </w:r>
            <w:r w:rsidR="0091668E">
              <w:rPr>
                <w:rFonts w:ascii="Arial" w:hAnsi="Arial" w:cs="Arial"/>
                <w:color w:val="000000"/>
                <w:sz w:val="21"/>
                <w:szCs w:val="21"/>
              </w:rPr>
              <w:t>,</w:t>
            </w:r>
            <w:r>
              <w:rPr>
                <w:rFonts w:ascii="Arial" w:hAnsi="Arial" w:cs="Arial"/>
                <w:color w:val="000000"/>
                <w:sz w:val="21"/>
                <w:szCs w:val="21"/>
              </w:rPr>
              <w:t>146</w:t>
            </w:r>
            <w:r w:rsidR="0091668E">
              <w:rPr>
                <w:rFonts w:ascii="Arial" w:hAnsi="Arial" w:cs="Arial"/>
                <w:color w:val="000000"/>
                <w:sz w:val="21"/>
                <w:szCs w:val="21"/>
              </w:rPr>
              <w:t>,</w:t>
            </w:r>
            <w:r>
              <w:rPr>
                <w:rFonts w:ascii="Arial" w:hAnsi="Arial" w:cs="Arial"/>
                <w:color w:val="000000"/>
                <w:sz w:val="21"/>
                <w:szCs w:val="21"/>
              </w:rPr>
              <w:t>162</w:t>
            </w:r>
            <w:r w:rsidR="0091668E">
              <w:rPr>
                <w:rFonts w:ascii="Arial" w:hAnsi="Arial" w:cs="Arial"/>
                <w:color w:val="000000"/>
                <w:sz w:val="21"/>
                <w:szCs w:val="21"/>
              </w:rPr>
              <w:t>.</w:t>
            </w:r>
            <w:r>
              <w:rPr>
                <w:rFonts w:ascii="Arial" w:hAnsi="Arial" w:cs="Arial"/>
                <w:color w:val="000000"/>
                <w:sz w:val="21"/>
                <w:szCs w:val="21"/>
              </w:rPr>
              <w:t>16</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 Egresos por Ejercer de G. Corriente</w:t>
            </w:r>
          </w:p>
        </w:tc>
        <w:tc>
          <w:tcPr>
            <w:tcW w:w="3118" w:type="dxa"/>
            <w:vAlign w:val="center"/>
          </w:tcPr>
          <w:p w:rsidR="007B794F" w:rsidRPr="00AE3245" w:rsidRDefault="00BA6426" w:rsidP="00BA6426">
            <w:pPr>
              <w:jc w:val="right"/>
              <w:rPr>
                <w:rFonts w:ascii="Arial" w:hAnsi="Arial" w:cs="Arial"/>
                <w:sz w:val="21"/>
                <w:szCs w:val="21"/>
              </w:rPr>
            </w:pPr>
            <w:r>
              <w:rPr>
                <w:rFonts w:ascii="Arial" w:hAnsi="Arial" w:cs="Arial"/>
                <w:color w:val="000000"/>
                <w:sz w:val="21"/>
                <w:szCs w:val="21"/>
              </w:rPr>
              <w:t>49</w:t>
            </w:r>
            <w:r w:rsidR="00613B32">
              <w:rPr>
                <w:rFonts w:ascii="Arial" w:hAnsi="Arial" w:cs="Arial"/>
                <w:color w:val="000000"/>
                <w:sz w:val="21"/>
                <w:szCs w:val="21"/>
              </w:rPr>
              <w:t>,</w:t>
            </w:r>
            <w:r>
              <w:rPr>
                <w:rFonts w:ascii="Arial" w:hAnsi="Arial" w:cs="Arial"/>
                <w:color w:val="000000"/>
                <w:sz w:val="21"/>
                <w:szCs w:val="21"/>
              </w:rPr>
              <w:t>146</w:t>
            </w:r>
            <w:r w:rsidR="0091668E">
              <w:rPr>
                <w:rFonts w:ascii="Arial" w:hAnsi="Arial" w:cs="Arial"/>
                <w:color w:val="000000"/>
                <w:sz w:val="21"/>
                <w:szCs w:val="21"/>
              </w:rPr>
              <w:t>,</w:t>
            </w:r>
            <w:r>
              <w:rPr>
                <w:rFonts w:ascii="Arial" w:hAnsi="Arial" w:cs="Arial"/>
                <w:color w:val="000000"/>
                <w:sz w:val="21"/>
                <w:szCs w:val="21"/>
              </w:rPr>
              <w:t>162</w:t>
            </w:r>
            <w:r w:rsidR="0091668E">
              <w:rPr>
                <w:rFonts w:ascii="Arial" w:hAnsi="Arial" w:cs="Arial"/>
                <w:color w:val="000000"/>
                <w:sz w:val="21"/>
                <w:szCs w:val="21"/>
              </w:rPr>
              <w:t>.</w:t>
            </w:r>
            <w:r>
              <w:rPr>
                <w:rFonts w:ascii="Arial" w:hAnsi="Arial" w:cs="Arial"/>
                <w:color w:val="000000"/>
                <w:sz w:val="21"/>
                <w:szCs w:val="21"/>
              </w:rPr>
              <w:t>16</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por Ejercer de In</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0.00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 de Egresos por Ejercer de B. Muebles</w:t>
            </w:r>
          </w:p>
        </w:tc>
        <w:tc>
          <w:tcPr>
            <w:tcW w:w="3118" w:type="dxa"/>
            <w:vAlign w:val="center"/>
          </w:tcPr>
          <w:p w:rsidR="007B794F" w:rsidRPr="00AE3245" w:rsidRDefault="007A23D3" w:rsidP="007A23D3">
            <w:pPr>
              <w:jc w:val="right"/>
              <w:rPr>
                <w:rFonts w:ascii="Arial" w:hAnsi="Arial" w:cs="Arial"/>
                <w:sz w:val="21"/>
                <w:szCs w:val="21"/>
              </w:rPr>
            </w:pPr>
            <w:r>
              <w:rPr>
                <w:rFonts w:ascii="Arial" w:hAnsi="Arial" w:cs="Arial"/>
                <w:color w:val="000000"/>
                <w:sz w:val="21"/>
                <w:szCs w:val="21"/>
              </w:rPr>
              <w:t>0</w:t>
            </w:r>
            <w:r w:rsidR="00AE3245" w:rsidRPr="00AE3245">
              <w:rPr>
                <w:rFonts w:ascii="Arial" w:hAnsi="Arial" w:cs="Arial"/>
                <w:color w:val="000000"/>
                <w:sz w:val="21"/>
                <w:szCs w:val="21"/>
              </w:rPr>
              <w:t>.</w:t>
            </w:r>
            <w:r>
              <w:rPr>
                <w:rFonts w:ascii="Arial" w:hAnsi="Arial" w:cs="Arial"/>
                <w:color w:val="000000"/>
                <w:sz w:val="21"/>
                <w:szCs w:val="21"/>
              </w:rPr>
              <w:t>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COMPROMETIDO</w:t>
            </w:r>
          </w:p>
        </w:tc>
        <w:tc>
          <w:tcPr>
            <w:tcW w:w="3118" w:type="dxa"/>
            <w:vAlign w:val="center"/>
          </w:tcPr>
          <w:p w:rsidR="007B794F" w:rsidRPr="00AE3245" w:rsidRDefault="004A3589" w:rsidP="00BA6426">
            <w:pPr>
              <w:jc w:val="right"/>
              <w:rPr>
                <w:rFonts w:ascii="Arial" w:hAnsi="Arial" w:cs="Arial"/>
                <w:sz w:val="21"/>
                <w:szCs w:val="21"/>
              </w:rPr>
            </w:pPr>
            <w:r>
              <w:rPr>
                <w:rFonts w:ascii="Arial" w:hAnsi="Arial" w:cs="Arial"/>
                <w:sz w:val="21"/>
                <w:szCs w:val="21"/>
              </w:rPr>
              <w:t>5</w:t>
            </w:r>
            <w:r w:rsidR="00BA6426">
              <w:rPr>
                <w:rFonts w:ascii="Arial" w:hAnsi="Arial" w:cs="Arial"/>
                <w:sz w:val="21"/>
                <w:szCs w:val="21"/>
              </w:rPr>
              <w:t>82</w:t>
            </w:r>
            <w:r w:rsidR="00613B32">
              <w:rPr>
                <w:rFonts w:ascii="Arial" w:hAnsi="Arial" w:cs="Arial"/>
                <w:sz w:val="21"/>
                <w:szCs w:val="21"/>
              </w:rPr>
              <w:t>,</w:t>
            </w:r>
            <w:r w:rsidR="00BA6426">
              <w:rPr>
                <w:rFonts w:ascii="Arial" w:hAnsi="Arial" w:cs="Arial"/>
                <w:sz w:val="21"/>
                <w:szCs w:val="21"/>
              </w:rPr>
              <w:t>413</w:t>
            </w:r>
            <w:r w:rsidR="00613B32">
              <w:rPr>
                <w:rFonts w:ascii="Arial" w:hAnsi="Arial" w:cs="Arial"/>
                <w:sz w:val="21"/>
                <w:szCs w:val="21"/>
              </w:rPr>
              <w:t>.</w:t>
            </w:r>
            <w:r w:rsidR="00BA6426">
              <w:rPr>
                <w:rFonts w:ascii="Arial" w:hAnsi="Arial" w:cs="Arial"/>
                <w:sz w:val="21"/>
                <w:szCs w:val="21"/>
              </w:rPr>
              <w:t>0</w:t>
            </w:r>
            <w:r w:rsidR="00613B32">
              <w:rPr>
                <w:rFonts w:ascii="Arial" w:hAnsi="Arial" w:cs="Arial"/>
                <w:sz w:val="21"/>
                <w:szCs w:val="21"/>
              </w:rPr>
              <w:t>0</w:t>
            </w:r>
          </w:p>
        </w:tc>
      </w:tr>
      <w:tr w:rsidR="00613B32" w:rsidRPr="004D11EC" w:rsidTr="00BF5C54">
        <w:tc>
          <w:tcPr>
            <w:tcW w:w="5070" w:type="dxa"/>
          </w:tcPr>
          <w:p w:rsidR="00613B32" w:rsidRPr="007B794F" w:rsidRDefault="00613B32" w:rsidP="00613B32">
            <w:pPr>
              <w:rPr>
                <w:rFonts w:ascii="Arial" w:hAnsi="Arial" w:cs="Arial"/>
                <w:sz w:val="21"/>
                <w:szCs w:val="21"/>
              </w:rPr>
            </w:pPr>
            <w:r w:rsidRPr="007B794F">
              <w:rPr>
                <w:rFonts w:ascii="Arial" w:hAnsi="Arial" w:cs="Arial"/>
                <w:sz w:val="21"/>
                <w:szCs w:val="21"/>
              </w:rPr>
              <w:t xml:space="preserve">P. de Egresos </w:t>
            </w:r>
            <w:r>
              <w:rPr>
                <w:rFonts w:ascii="Arial" w:hAnsi="Arial" w:cs="Arial"/>
                <w:sz w:val="21"/>
                <w:szCs w:val="21"/>
              </w:rPr>
              <w:t>Comprometido</w:t>
            </w:r>
            <w:r w:rsidRPr="007B794F">
              <w:rPr>
                <w:rFonts w:ascii="Arial" w:hAnsi="Arial" w:cs="Arial"/>
                <w:sz w:val="21"/>
                <w:szCs w:val="21"/>
              </w:rPr>
              <w:t xml:space="preserve"> de G. Corriente</w:t>
            </w:r>
          </w:p>
        </w:tc>
        <w:tc>
          <w:tcPr>
            <w:tcW w:w="3118" w:type="dxa"/>
            <w:vAlign w:val="center"/>
          </w:tcPr>
          <w:p w:rsidR="00613B32" w:rsidRPr="00AE3245" w:rsidRDefault="004A3589" w:rsidP="00BA6426">
            <w:pPr>
              <w:jc w:val="right"/>
              <w:rPr>
                <w:rFonts w:ascii="Arial" w:hAnsi="Arial" w:cs="Arial"/>
                <w:sz w:val="21"/>
                <w:szCs w:val="21"/>
              </w:rPr>
            </w:pPr>
            <w:r>
              <w:rPr>
                <w:rFonts w:ascii="Arial" w:hAnsi="Arial" w:cs="Arial"/>
                <w:sz w:val="21"/>
                <w:szCs w:val="21"/>
              </w:rPr>
              <w:t>5</w:t>
            </w:r>
            <w:r w:rsidR="00BA6426">
              <w:rPr>
                <w:rFonts w:ascii="Arial" w:hAnsi="Arial" w:cs="Arial"/>
                <w:sz w:val="21"/>
                <w:szCs w:val="21"/>
              </w:rPr>
              <w:t>82</w:t>
            </w:r>
            <w:r w:rsidR="00613B32">
              <w:rPr>
                <w:rFonts w:ascii="Arial" w:hAnsi="Arial" w:cs="Arial"/>
                <w:sz w:val="21"/>
                <w:szCs w:val="21"/>
              </w:rPr>
              <w:t>,</w:t>
            </w:r>
            <w:r w:rsidR="00BA6426">
              <w:rPr>
                <w:rFonts w:ascii="Arial" w:hAnsi="Arial" w:cs="Arial"/>
                <w:sz w:val="21"/>
                <w:szCs w:val="21"/>
              </w:rPr>
              <w:t>413</w:t>
            </w:r>
            <w:r>
              <w:rPr>
                <w:rFonts w:ascii="Arial" w:hAnsi="Arial" w:cs="Arial"/>
                <w:sz w:val="21"/>
                <w:szCs w:val="21"/>
              </w:rPr>
              <w:t>.</w:t>
            </w:r>
            <w:r w:rsidR="00BA6426">
              <w:rPr>
                <w:rFonts w:ascii="Arial" w:hAnsi="Arial" w:cs="Arial"/>
                <w:sz w:val="21"/>
                <w:szCs w:val="21"/>
              </w:rPr>
              <w:t>0</w:t>
            </w:r>
            <w:r>
              <w:rPr>
                <w:rFonts w:ascii="Arial" w:hAnsi="Arial" w:cs="Arial"/>
                <w:sz w:val="21"/>
                <w:szCs w:val="21"/>
              </w:rPr>
              <w:t>0</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DEVENGADO</w:t>
            </w:r>
          </w:p>
        </w:tc>
        <w:tc>
          <w:tcPr>
            <w:tcW w:w="3118" w:type="dxa"/>
            <w:vAlign w:val="center"/>
          </w:tcPr>
          <w:p w:rsidR="007B794F" w:rsidRPr="00AE3245" w:rsidRDefault="00BA6426" w:rsidP="00BA6426">
            <w:pPr>
              <w:jc w:val="right"/>
              <w:rPr>
                <w:rFonts w:ascii="Arial" w:hAnsi="Arial" w:cs="Arial"/>
                <w:sz w:val="21"/>
                <w:szCs w:val="21"/>
              </w:rPr>
            </w:pPr>
            <w:r>
              <w:rPr>
                <w:rFonts w:ascii="Arial" w:hAnsi="Arial" w:cs="Arial"/>
                <w:color w:val="000000"/>
                <w:sz w:val="21"/>
                <w:szCs w:val="21"/>
              </w:rPr>
              <w:t>374</w:t>
            </w:r>
            <w:r w:rsidR="00613B32">
              <w:rPr>
                <w:rFonts w:ascii="Arial" w:hAnsi="Arial" w:cs="Arial"/>
                <w:color w:val="000000"/>
                <w:sz w:val="21"/>
                <w:szCs w:val="21"/>
              </w:rPr>
              <w:t>,</w:t>
            </w:r>
            <w:r>
              <w:rPr>
                <w:rFonts w:ascii="Arial" w:hAnsi="Arial" w:cs="Arial"/>
                <w:color w:val="000000"/>
                <w:sz w:val="21"/>
                <w:szCs w:val="21"/>
              </w:rPr>
              <w:t>872.85</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 de Egresos Devengado de G. Corriente</w:t>
            </w:r>
          </w:p>
        </w:tc>
        <w:tc>
          <w:tcPr>
            <w:tcW w:w="3118" w:type="dxa"/>
            <w:vAlign w:val="center"/>
          </w:tcPr>
          <w:p w:rsidR="007B794F" w:rsidRPr="00AE3245" w:rsidRDefault="00BA6426" w:rsidP="00BA6426">
            <w:pPr>
              <w:jc w:val="right"/>
              <w:rPr>
                <w:rFonts w:ascii="Arial" w:hAnsi="Arial" w:cs="Arial"/>
                <w:sz w:val="21"/>
                <w:szCs w:val="21"/>
              </w:rPr>
            </w:pPr>
            <w:r>
              <w:rPr>
                <w:rFonts w:ascii="Arial" w:hAnsi="Arial" w:cs="Arial"/>
                <w:color w:val="000000"/>
                <w:sz w:val="21"/>
                <w:szCs w:val="21"/>
              </w:rPr>
              <w:t>374</w:t>
            </w:r>
            <w:r w:rsidR="00613B32">
              <w:rPr>
                <w:rFonts w:ascii="Arial" w:hAnsi="Arial" w:cs="Arial"/>
                <w:color w:val="000000"/>
                <w:sz w:val="21"/>
                <w:szCs w:val="21"/>
              </w:rPr>
              <w:t>,</w:t>
            </w:r>
            <w:r>
              <w:rPr>
                <w:rFonts w:ascii="Arial" w:hAnsi="Arial" w:cs="Arial"/>
                <w:color w:val="000000"/>
                <w:sz w:val="21"/>
                <w:szCs w:val="21"/>
              </w:rPr>
              <w:t>872.85</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Devengado de Bien</w:t>
            </w:r>
          </w:p>
        </w:tc>
        <w:tc>
          <w:tcPr>
            <w:tcW w:w="3118" w:type="dxa"/>
            <w:vAlign w:val="center"/>
          </w:tcPr>
          <w:p w:rsidR="007B794F" w:rsidRPr="00AE3245" w:rsidRDefault="00AE3245" w:rsidP="007A23D3">
            <w:pPr>
              <w:jc w:val="right"/>
              <w:rPr>
                <w:rFonts w:ascii="Arial" w:hAnsi="Arial" w:cs="Arial"/>
                <w:sz w:val="21"/>
                <w:szCs w:val="21"/>
              </w:rPr>
            </w:pPr>
            <w:r w:rsidRPr="00AE3245">
              <w:rPr>
                <w:rFonts w:ascii="Arial" w:hAnsi="Arial" w:cs="Arial"/>
                <w:color w:val="000000"/>
                <w:sz w:val="21"/>
                <w:szCs w:val="21"/>
              </w:rPr>
              <w:t xml:space="preserve"> </w:t>
            </w:r>
            <w:r w:rsidR="007A23D3">
              <w:rPr>
                <w:rFonts w:ascii="Arial" w:hAnsi="Arial" w:cs="Arial"/>
                <w:color w:val="000000"/>
                <w:sz w:val="21"/>
                <w:szCs w:val="21"/>
              </w:rPr>
              <w:t>0</w:t>
            </w:r>
            <w:r w:rsidRPr="00AE3245">
              <w:rPr>
                <w:rFonts w:ascii="Arial" w:hAnsi="Arial" w:cs="Arial"/>
                <w:color w:val="000000"/>
                <w:sz w:val="21"/>
                <w:szCs w:val="21"/>
              </w:rPr>
              <w:t>.</w:t>
            </w:r>
            <w:r w:rsidR="007A23D3">
              <w:rPr>
                <w:rFonts w:ascii="Arial" w:hAnsi="Arial" w:cs="Arial"/>
                <w:color w:val="000000"/>
                <w:sz w:val="21"/>
                <w:szCs w:val="21"/>
              </w:rPr>
              <w:t>00</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PAGADO</w:t>
            </w:r>
          </w:p>
        </w:tc>
        <w:tc>
          <w:tcPr>
            <w:tcW w:w="3118" w:type="dxa"/>
            <w:vAlign w:val="center"/>
          </w:tcPr>
          <w:p w:rsidR="007B794F" w:rsidRPr="00AE3245" w:rsidRDefault="00BA6426" w:rsidP="00BA6426">
            <w:pPr>
              <w:jc w:val="right"/>
              <w:rPr>
                <w:rFonts w:ascii="Arial" w:hAnsi="Arial" w:cs="Arial"/>
                <w:sz w:val="21"/>
                <w:szCs w:val="21"/>
              </w:rPr>
            </w:pPr>
            <w:r>
              <w:rPr>
                <w:rFonts w:ascii="Arial" w:hAnsi="Arial" w:cs="Arial"/>
                <w:color w:val="000000"/>
                <w:sz w:val="21"/>
                <w:szCs w:val="21"/>
              </w:rPr>
              <w:t>31</w:t>
            </w:r>
            <w:r w:rsidR="00613B32">
              <w:rPr>
                <w:rFonts w:ascii="Arial" w:hAnsi="Arial" w:cs="Arial"/>
                <w:color w:val="000000"/>
                <w:sz w:val="21"/>
                <w:szCs w:val="21"/>
              </w:rPr>
              <w:t>,</w:t>
            </w:r>
            <w:r>
              <w:rPr>
                <w:rFonts w:ascii="Arial" w:hAnsi="Arial" w:cs="Arial"/>
                <w:color w:val="000000"/>
                <w:sz w:val="21"/>
                <w:szCs w:val="21"/>
              </w:rPr>
              <w:t>408</w:t>
            </w:r>
            <w:r w:rsidR="00613B32">
              <w:rPr>
                <w:rFonts w:ascii="Arial" w:hAnsi="Arial" w:cs="Arial"/>
                <w:color w:val="000000"/>
                <w:sz w:val="21"/>
                <w:szCs w:val="21"/>
              </w:rPr>
              <w:t>,</w:t>
            </w:r>
            <w:r>
              <w:rPr>
                <w:rFonts w:ascii="Arial" w:hAnsi="Arial" w:cs="Arial"/>
                <w:color w:val="000000"/>
                <w:sz w:val="21"/>
                <w:szCs w:val="21"/>
              </w:rPr>
              <w:t>903</w:t>
            </w:r>
            <w:r w:rsidR="008825BB">
              <w:rPr>
                <w:rFonts w:ascii="Arial" w:hAnsi="Arial" w:cs="Arial"/>
                <w:color w:val="000000"/>
                <w:sz w:val="21"/>
                <w:szCs w:val="21"/>
              </w:rPr>
              <w:t>.9</w:t>
            </w:r>
            <w:r>
              <w:rPr>
                <w:rFonts w:ascii="Arial" w:hAnsi="Arial" w:cs="Arial"/>
                <w:color w:val="000000"/>
                <w:sz w:val="21"/>
                <w:szCs w:val="21"/>
              </w:rPr>
              <w:t>9</w:t>
            </w:r>
          </w:p>
        </w:tc>
      </w:tr>
      <w:tr w:rsidR="00B7151A" w:rsidRPr="004D11EC" w:rsidTr="00BD3E07">
        <w:tc>
          <w:tcPr>
            <w:tcW w:w="5070" w:type="dxa"/>
          </w:tcPr>
          <w:p w:rsidR="00B7151A" w:rsidRPr="007B794F" w:rsidRDefault="00B7151A" w:rsidP="00BF5C54">
            <w:pPr>
              <w:rPr>
                <w:rFonts w:ascii="Arial" w:hAnsi="Arial" w:cs="Arial"/>
                <w:sz w:val="21"/>
                <w:szCs w:val="21"/>
              </w:rPr>
            </w:pPr>
            <w:r w:rsidRPr="007B794F">
              <w:rPr>
                <w:rFonts w:ascii="Arial" w:hAnsi="Arial" w:cs="Arial"/>
                <w:sz w:val="21"/>
                <w:szCs w:val="21"/>
              </w:rPr>
              <w:t xml:space="preserve">Presupuesto de Egresos Pagado de Gastos </w:t>
            </w:r>
          </w:p>
        </w:tc>
        <w:tc>
          <w:tcPr>
            <w:tcW w:w="3118" w:type="dxa"/>
            <w:vAlign w:val="center"/>
          </w:tcPr>
          <w:p w:rsidR="00B7151A" w:rsidRPr="00AE3245" w:rsidRDefault="00BA6426" w:rsidP="00BA6426">
            <w:pPr>
              <w:jc w:val="right"/>
              <w:rPr>
                <w:rFonts w:ascii="Arial" w:hAnsi="Arial" w:cs="Arial"/>
                <w:sz w:val="21"/>
                <w:szCs w:val="21"/>
              </w:rPr>
            </w:pPr>
            <w:r>
              <w:rPr>
                <w:rFonts w:ascii="Arial" w:hAnsi="Arial" w:cs="Arial"/>
                <w:color w:val="000000"/>
                <w:sz w:val="21"/>
                <w:szCs w:val="21"/>
              </w:rPr>
              <w:t>31</w:t>
            </w:r>
            <w:r w:rsidR="00613B32">
              <w:rPr>
                <w:rFonts w:ascii="Arial" w:hAnsi="Arial" w:cs="Arial"/>
                <w:color w:val="000000"/>
                <w:sz w:val="21"/>
                <w:szCs w:val="21"/>
              </w:rPr>
              <w:t>,</w:t>
            </w:r>
            <w:r>
              <w:rPr>
                <w:rFonts w:ascii="Arial" w:hAnsi="Arial" w:cs="Arial"/>
                <w:color w:val="000000"/>
                <w:sz w:val="21"/>
                <w:szCs w:val="21"/>
              </w:rPr>
              <w:t>408</w:t>
            </w:r>
            <w:r w:rsidR="00613B32">
              <w:rPr>
                <w:rFonts w:ascii="Arial" w:hAnsi="Arial" w:cs="Arial"/>
                <w:color w:val="000000"/>
                <w:sz w:val="21"/>
                <w:szCs w:val="21"/>
              </w:rPr>
              <w:t>,</w:t>
            </w:r>
            <w:r>
              <w:rPr>
                <w:rFonts w:ascii="Arial" w:hAnsi="Arial" w:cs="Arial"/>
                <w:color w:val="000000"/>
                <w:sz w:val="21"/>
                <w:szCs w:val="21"/>
              </w:rPr>
              <w:t>903</w:t>
            </w:r>
            <w:r w:rsidR="00613B32">
              <w:rPr>
                <w:rFonts w:ascii="Arial" w:hAnsi="Arial" w:cs="Arial"/>
                <w:color w:val="000000"/>
                <w:sz w:val="21"/>
                <w:szCs w:val="21"/>
              </w:rPr>
              <w:t>.</w:t>
            </w:r>
            <w:r w:rsidR="008825BB">
              <w:rPr>
                <w:rFonts w:ascii="Arial" w:hAnsi="Arial" w:cs="Arial"/>
                <w:color w:val="000000"/>
                <w:sz w:val="21"/>
                <w:szCs w:val="21"/>
              </w:rPr>
              <w:t>9</w:t>
            </w:r>
            <w:r>
              <w:rPr>
                <w:rFonts w:ascii="Arial" w:hAnsi="Arial" w:cs="Arial"/>
                <w:color w:val="000000"/>
                <w:sz w:val="21"/>
                <w:szCs w:val="21"/>
              </w:rPr>
              <w:t>9</w:t>
            </w:r>
          </w:p>
        </w:tc>
      </w:tr>
      <w:tr w:rsidR="00B7151A" w:rsidRPr="004D11EC" w:rsidTr="00BD3E07">
        <w:tc>
          <w:tcPr>
            <w:tcW w:w="5070" w:type="dxa"/>
          </w:tcPr>
          <w:p w:rsidR="00B7151A" w:rsidRPr="007B794F" w:rsidRDefault="00B7151A" w:rsidP="00BF5C54">
            <w:pPr>
              <w:rPr>
                <w:rFonts w:ascii="Arial" w:hAnsi="Arial" w:cs="Arial"/>
                <w:sz w:val="21"/>
                <w:szCs w:val="21"/>
              </w:rPr>
            </w:pPr>
            <w:r w:rsidRPr="007B794F">
              <w:rPr>
                <w:rFonts w:ascii="Arial" w:hAnsi="Arial" w:cs="Arial"/>
                <w:sz w:val="21"/>
                <w:szCs w:val="21"/>
              </w:rPr>
              <w:t>Presupuesto de Egresos Pagado de Interes</w:t>
            </w:r>
            <w:r>
              <w:rPr>
                <w:rFonts w:ascii="Arial" w:hAnsi="Arial" w:cs="Arial"/>
                <w:sz w:val="21"/>
                <w:szCs w:val="21"/>
              </w:rPr>
              <w:t>es</w:t>
            </w:r>
          </w:p>
        </w:tc>
        <w:tc>
          <w:tcPr>
            <w:tcW w:w="3118" w:type="dxa"/>
            <w:vAlign w:val="center"/>
          </w:tcPr>
          <w:p w:rsidR="00B7151A" w:rsidRPr="00AE3245" w:rsidRDefault="00B7151A" w:rsidP="00FB6F67">
            <w:pPr>
              <w:jc w:val="right"/>
              <w:rPr>
                <w:rFonts w:ascii="Arial" w:hAnsi="Arial" w:cs="Arial"/>
                <w:sz w:val="21"/>
                <w:szCs w:val="21"/>
              </w:rPr>
            </w:pPr>
            <w:r>
              <w:rPr>
                <w:rFonts w:ascii="Arial" w:hAnsi="Arial" w:cs="Arial"/>
                <w:color w:val="000000"/>
                <w:sz w:val="21"/>
                <w:szCs w:val="21"/>
              </w:rPr>
              <w:t>0</w:t>
            </w:r>
            <w:r w:rsidRPr="00AE3245">
              <w:rPr>
                <w:rFonts w:ascii="Arial" w:hAnsi="Arial" w:cs="Arial"/>
                <w:color w:val="000000"/>
                <w:sz w:val="21"/>
                <w:szCs w:val="21"/>
              </w:rPr>
              <w:t>.</w:t>
            </w:r>
            <w:r>
              <w:rPr>
                <w:rFonts w:ascii="Arial" w:hAnsi="Arial" w:cs="Arial"/>
                <w:color w:val="000000"/>
                <w:sz w:val="21"/>
                <w:szCs w:val="21"/>
              </w:rPr>
              <w:t>00</w:t>
            </w:r>
          </w:p>
        </w:tc>
      </w:tr>
      <w:tr w:rsidR="00B7151A" w:rsidRPr="004D11EC" w:rsidTr="00BD3E07">
        <w:tc>
          <w:tcPr>
            <w:tcW w:w="5070" w:type="dxa"/>
          </w:tcPr>
          <w:p w:rsidR="00B7151A" w:rsidRPr="007B794F" w:rsidRDefault="00B7151A" w:rsidP="00BF5C54">
            <w:pPr>
              <w:rPr>
                <w:rFonts w:ascii="Arial" w:hAnsi="Arial" w:cs="Arial"/>
                <w:sz w:val="21"/>
                <w:szCs w:val="21"/>
              </w:rPr>
            </w:pPr>
            <w:r w:rsidRPr="007B794F">
              <w:rPr>
                <w:rFonts w:ascii="Arial" w:hAnsi="Arial" w:cs="Arial"/>
                <w:sz w:val="21"/>
                <w:szCs w:val="21"/>
              </w:rPr>
              <w:t xml:space="preserve">Presupuesto de Egresos Pagado de Bienes </w:t>
            </w:r>
          </w:p>
        </w:tc>
        <w:tc>
          <w:tcPr>
            <w:tcW w:w="3118" w:type="dxa"/>
            <w:vAlign w:val="center"/>
          </w:tcPr>
          <w:p w:rsidR="00B7151A" w:rsidRPr="00AE3245" w:rsidRDefault="00B7151A" w:rsidP="00FB6F67">
            <w:pPr>
              <w:jc w:val="right"/>
              <w:rPr>
                <w:rFonts w:ascii="Arial" w:hAnsi="Arial" w:cs="Arial"/>
                <w:sz w:val="21"/>
                <w:szCs w:val="21"/>
              </w:rPr>
            </w:pPr>
            <w:r>
              <w:rPr>
                <w:rFonts w:ascii="Arial" w:hAnsi="Arial" w:cs="Arial"/>
                <w:color w:val="000000"/>
                <w:sz w:val="21"/>
                <w:szCs w:val="21"/>
              </w:rPr>
              <w:t>0</w:t>
            </w:r>
            <w:r w:rsidRPr="00AE3245">
              <w:rPr>
                <w:rFonts w:ascii="Arial" w:hAnsi="Arial" w:cs="Arial"/>
                <w:color w:val="000000"/>
                <w:sz w:val="21"/>
                <w:szCs w:val="21"/>
              </w:rPr>
              <w:t>.0</w:t>
            </w:r>
            <w:r>
              <w:rPr>
                <w:rFonts w:ascii="Arial" w:hAnsi="Arial" w:cs="Arial"/>
                <w:color w:val="000000"/>
                <w:sz w:val="21"/>
                <w:szCs w:val="21"/>
              </w:rPr>
              <w:t>0</w:t>
            </w:r>
          </w:p>
        </w:tc>
      </w:tr>
    </w:tbl>
    <w:p w:rsidR="00613B32" w:rsidRDefault="00613B32" w:rsidP="005F3231">
      <w:pPr>
        <w:rPr>
          <w:rFonts w:ascii="Arial" w:hAnsi="Arial" w:cs="Arial"/>
          <w:sz w:val="21"/>
          <w:szCs w:val="21"/>
        </w:rPr>
      </w:pPr>
    </w:p>
    <w:p w:rsidR="009C099C" w:rsidRDefault="009C099C"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B7151A">
        <w:rPr>
          <w:rFonts w:ascii="Arial" w:hAnsi="Arial" w:cs="Arial"/>
          <w:sz w:val="21"/>
          <w:szCs w:val="21"/>
        </w:rPr>
        <w:t>3</w:t>
      </w:r>
      <w:r w:rsidR="001D3DBF">
        <w:rPr>
          <w:rFonts w:ascii="Arial" w:hAnsi="Arial" w:cs="Arial"/>
          <w:sz w:val="21"/>
          <w:szCs w:val="21"/>
        </w:rPr>
        <w:t>0</w:t>
      </w:r>
      <w:r>
        <w:rPr>
          <w:rFonts w:ascii="Arial" w:hAnsi="Arial" w:cs="Arial"/>
          <w:sz w:val="21"/>
          <w:szCs w:val="21"/>
        </w:rPr>
        <w:t xml:space="preserve"> de </w:t>
      </w:r>
      <w:r w:rsidR="001D3DBF">
        <w:rPr>
          <w:rFonts w:ascii="Arial" w:hAnsi="Arial" w:cs="Arial"/>
          <w:sz w:val="21"/>
          <w:szCs w:val="21"/>
        </w:rPr>
        <w:t>junio</w:t>
      </w:r>
      <w:r w:rsidR="000156D9">
        <w:rPr>
          <w:rFonts w:ascii="Arial" w:hAnsi="Arial" w:cs="Arial"/>
          <w:sz w:val="21"/>
          <w:szCs w:val="21"/>
        </w:rPr>
        <w:t xml:space="preserve"> </w:t>
      </w:r>
      <w:r w:rsidR="00AC6B64">
        <w:rPr>
          <w:rFonts w:ascii="Arial" w:hAnsi="Arial" w:cs="Arial"/>
          <w:sz w:val="21"/>
          <w:szCs w:val="21"/>
        </w:rPr>
        <w:t>de 2015</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lastRenderedPageBreak/>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A634E8" w:rsidRPr="00A634E8">
        <w:rPr>
          <w:rFonts w:ascii="Arial" w:hAnsi="Arial" w:cs="Arial"/>
          <w:sz w:val="21"/>
          <w:szCs w:val="21"/>
        </w:rPr>
        <w:t>3</w:t>
      </w:r>
      <w:r w:rsidR="001D3DBF">
        <w:rPr>
          <w:rFonts w:ascii="Arial" w:hAnsi="Arial" w:cs="Arial"/>
          <w:sz w:val="21"/>
          <w:szCs w:val="21"/>
        </w:rPr>
        <w:t>0</w:t>
      </w:r>
      <w:r w:rsidRPr="00A634E8">
        <w:rPr>
          <w:rFonts w:ascii="Arial" w:hAnsi="Arial" w:cs="Arial"/>
          <w:sz w:val="21"/>
          <w:szCs w:val="21"/>
        </w:rPr>
        <w:t xml:space="preserve"> de </w:t>
      </w:r>
      <w:r w:rsidR="001D3DBF">
        <w:rPr>
          <w:rFonts w:ascii="Arial" w:hAnsi="Arial" w:cs="Arial"/>
          <w:sz w:val="21"/>
          <w:szCs w:val="21"/>
        </w:rPr>
        <w:t>junio</w:t>
      </w:r>
      <w:r w:rsidR="000F347D" w:rsidRPr="00A634E8">
        <w:rPr>
          <w:rFonts w:ascii="Arial" w:hAnsi="Arial" w:cs="Arial"/>
          <w:sz w:val="21"/>
          <w:szCs w:val="21"/>
        </w:rPr>
        <w:t xml:space="preserve"> de 2015</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9C099C" w:rsidRDefault="009C099C" w:rsidP="0042374C">
      <w:pPr>
        <w:rPr>
          <w:rFonts w:ascii="Arial" w:hAnsi="Arial" w:cs="Arial"/>
          <w:sz w:val="21"/>
          <w:szCs w:val="21"/>
        </w:rPr>
      </w:pPr>
    </w:p>
    <w:p w:rsidR="009C099C" w:rsidRPr="0042374C" w:rsidRDefault="009C099C" w:rsidP="0042374C">
      <w:pPr>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lastRenderedPageBreak/>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6B510E" w:rsidRPr="0042374C"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w:t>
      </w:r>
      <w:r w:rsidRPr="005E08E7">
        <w:rPr>
          <w:rFonts w:ascii="Arial" w:hAnsi="Arial" w:cs="Arial"/>
          <w:sz w:val="21"/>
          <w:szCs w:val="21"/>
        </w:rPr>
        <w:lastRenderedPageBreak/>
        <w:t>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5E08E7" w:rsidRPr="005E08E7" w:rsidRDefault="005E08E7" w:rsidP="005E08E7">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B7151A">
        <w:rPr>
          <w:rFonts w:ascii="Arial" w:hAnsi="Arial" w:cs="Arial"/>
          <w:sz w:val="21"/>
          <w:szCs w:val="21"/>
        </w:rPr>
        <w:t>3</w:t>
      </w:r>
      <w:r w:rsidR="001D3DBF">
        <w:rPr>
          <w:rFonts w:ascii="Arial" w:hAnsi="Arial" w:cs="Arial"/>
          <w:sz w:val="21"/>
          <w:szCs w:val="21"/>
        </w:rPr>
        <w:t>0</w:t>
      </w:r>
      <w:r w:rsidR="000F347D">
        <w:rPr>
          <w:rFonts w:ascii="Arial" w:hAnsi="Arial" w:cs="Arial"/>
          <w:sz w:val="21"/>
          <w:szCs w:val="21"/>
        </w:rPr>
        <w:t xml:space="preserve"> de </w:t>
      </w:r>
      <w:r w:rsidR="001D3DBF">
        <w:rPr>
          <w:rFonts w:ascii="Arial" w:hAnsi="Arial" w:cs="Arial"/>
          <w:sz w:val="21"/>
          <w:szCs w:val="21"/>
        </w:rPr>
        <w:t>junio</w:t>
      </w:r>
      <w:r w:rsidR="000F347D">
        <w:rPr>
          <w:rFonts w:ascii="Arial" w:hAnsi="Arial" w:cs="Arial"/>
          <w:sz w:val="21"/>
          <w:szCs w:val="21"/>
        </w:rPr>
        <w:t xml:space="preserve"> de </w:t>
      </w:r>
      <w:r w:rsidRPr="005E08E7">
        <w:rPr>
          <w:rFonts w:ascii="Arial" w:hAnsi="Arial" w:cs="Arial"/>
          <w:sz w:val="21"/>
          <w:szCs w:val="21"/>
        </w:rPr>
        <w:t>201</w:t>
      </w:r>
      <w:r w:rsidR="00876D75">
        <w:rPr>
          <w:rFonts w:ascii="Arial" w:hAnsi="Arial" w:cs="Arial"/>
          <w:sz w:val="21"/>
          <w:szCs w:val="21"/>
        </w:rPr>
        <w:t>5</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p>
    <w:tbl>
      <w:tblPr>
        <w:tblW w:w="0" w:type="auto"/>
        <w:jc w:val="center"/>
        <w:tblLook w:val="01E0" w:firstRow="1" w:lastRow="1" w:firstColumn="1" w:lastColumn="1" w:noHBand="0" w:noVBand="0"/>
      </w:tblPr>
      <w:tblGrid>
        <w:gridCol w:w="560"/>
        <w:gridCol w:w="561"/>
        <w:gridCol w:w="562"/>
        <w:gridCol w:w="562"/>
        <w:gridCol w:w="562"/>
        <w:gridCol w:w="561"/>
        <w:gridCol w:w="566"/>
        <w:gridCol w:w="563"/>
        <w:gridCol w:w="562"/>
        <w:gridCol w:w="563"/>
        <w:gridCol w:w="572"/>
        <w:gridCol w:w="572"/>
        <w:gridCol w:w="572"/>
        <w:gridCol w:w="572"/>
        <w:gridCol w:w="572"/>
        <w:gridCol w:w="572"/>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577CBD" w:rsidP="009F7C42">
            <w:pPr>
              <w:jc w:val="center"/>
              <w:rPr>
                <w:rFonts w:ascii="Arial" w:hAnsi="Arial" w:cs="Arial"/>
                <w:sz w:val="21"/>
                <w:szCs w:val="21"/>
              </w:rPr>
            </w:pPr>
            <w:r>
              <w:rPr>
                <w:rFonts w:ascii="Arial" w:hAnsi="Arial" w:cs="Arial"/>
                <w:sz w:val="21"/>
                <w:szCs w:val="21"/>
              </w:rPr>
              <w:t>M. en D. José Cé</w:t>
            </w:r>
            <w:r w:rsidR="009F7C42">
              <w:rPr>
                <w:rFonts w:ascii="Arial" w:hAnsi="Arial" w:cs="Arial"/>
                <w:sz w:val="21"/>
                <w:szCs w:val="21"/>
              </w:rPr>
              <w:t>sar Lima Cervantes</w:t>
            </w:r>
          </w:p>
        </w:tc>
      </w:tr>
      <w:tr w:rsidR="00E624AF" w:rsidRPr="009F7C42" w:rsidTr="00791211">
        <w:trPr>
          <w:jc w:val="center"/>
        </w:trPr>
        <w:tc>
          <w:tcPr>
            <w:tcW w:w="3934" w:type="dxa"/>
            <w:gridSpan w:val="7"/>
          </w:tcPr>
          <w:p w:rsidR="00E624AF" w:rsidRPr="009F7C42" w:rsidRDefault="00E624AF" w:rsidP="00876D75">
            <w:pPr>
              <w:jc w:val="center"/>
              <w:rPr>
                <w:rFonts w:ascii="Arial" w:hAnsi="Arial" w:cs="Arial"/>
                <w:sz w:val="21"/>
                <w:szCs w:val="21"/>
              </w:rPr>
            </w:pPr>
            <w:r w:rsidRPr="009F7C42">
              <w:rPr>
                <w:rFonts w:ascii="Arial" w:hAnsi="Arial" w:cs="Arial"/>
                <w:sz w:val="21"/>
                <w:szCs w:val="21"/>
              </w:rPr>
              <w:t>Jef</w:t>
            </w:r>
            <w:r w:rsidR="00876D75">
              <w:rPr>
                <w:rFonts w:ascii="Arial" w:hAnsi="Arial" w:cs="Arial"/>
                <w:sz w:val="21"/>
                <w:szCs w:val="21"/>
              </w:rPr>
              <w:t>e</w:t>
            </w:r>
            <w:r w:rsidRPr="009F7C42">
              <w:rPr>
                <w:rFonts w:ascii="Arial" w:hAnsi="Arial" w:cs="Arial"/>
                <w:sz w:val="21"/>
                <w:szCs w:val="21"/>
              </w:rPr>
              <w:t xml:space="preserve"> del Departamento de Recursos Financieros y Contabilidad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bookmarkStart w:id="0" w:name="_GoBack"/>
      <w:bookmarkEnd w:id="0"/>
    </w:p>
    <w:p w:rsidR="00791211" w:rsidRDefault="00791211"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1D3DBF" w:rsidP="00791211">
      <w:pPr>
        <w:jc w:val="center"/>
        <w:rPr>
          <w:rFonts w:ascii="Arial" w:hAnsi="Arial" w:cs="Arial"/>
          <w:sz w:val="32"/>
          <w:szCs w:val="32"/>
        </w:rPr>
      </w:pPr>
      <w:r>
        <w:rPr>
          <w:rFonts w:ascii="Arial" w:hAnsi="Arial" w:cs="Arial"/>
          <w:b/>
          <w:smallCaps/>
          <w:sz w:val="32"/>
          <w:szCs w:val="32"/>
        </w:rPr>
        <w:t>Junio</w:t>
      </w:r>
      <w:r w:rsidR="00791211">
        <w:rPr>
          <w:rFonts w:ascii="Arial" w:hAnsi="Arial" w:cs="Arial"/>
          <w:b/>
          <w:smallCaps/>
          <w:sz w:val="32"/>
          <w:szCs w:val="32"/>
        </w:rPr>
        <w:t xml:space="preserve"> 201</w:t>
      </w:r>
      <w:r w:rsidR="00876D75">
        <w:rPr>
          <w:rFonts w:ascii="Arial" w:hAnsi="Arial" w:cs="Arial"/>
          <w:b/>
          <w:smallCaps/>
          <w:sz w:val="32"/>
          <w:szCs w:val="32"/>
        </w:rPr>
        <w:t>5</w:t>
      </w:r>
    </w:p>
    <w:sectPr w:rsidR="00791211" w:rsidRPr="00791211" w:rsidSect="00A747D2">
      <w:headerReference w:type="default" r:id="rId9"/>
      <w:footerReference w:type="default" r:id="rId10"/>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FE" w:rsidRDefault="002420FE" w:rsidP="00B22A8E">
      <w:pPr>
        <w:spacing w:before="0" w:after="0" w:line="240" w:lineRule="auto"/>
      </w:pPr>
      <w:r>
        <w:separator/>
      </w:r>
    </w:p>
  </w:endnote>
  <w:endnote w:type="continuationSeparator" w:id="0">
    <w:p w:rsidR="002420FE" w:rsidRDefault="002420FE"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6" w:rsidRDefault="00510D76">
    <w:pPr>
      <w:pStyle w:val="Piedepgina"/>
      <w:jc w:val="center"/>
    </w:pPr>
  </w:p>
  <w:p w:rsidR="00510D76" w:rsidRDefault="00510D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FE" w:rsidRDefault="002420FE" w:rsidP="00B22A8E">
      <w:pPr>
        <w:spacing w:before="0" w:after="0" w:line="240" w:lineRule="auto"/>
      </w:pPr>
      <w:r>
        <w:separator/>
      </w:r>
    </w:p>
  </w:footnote>
  <w:footnote w:type="continuationSeparator" w:id="0">
    <w:p w:rsidR="002420FE" w:rsidRDefault="002420FE" w:rsidP="00B22A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6" w:rsidRDefault="00510D76" w:rsidP="00B22A8E">
    <w:pPr>
      <w:pStyle w:val="Encabezado"/>
      <w:jc w:val="center"/>
      <w:rPr>
        <w:b/>
        <w:sz w:val="18"/>
        <w:szCs w:val="18"/>
      </w:rPr>
    </w:pPr>
    <w:r>
      <w:rPr>
        <w:b/>
        <w:noProof/>
        <w:sz w:val="18"/>
        <w:szCs w:val="18"/>
        <w:lang w:eastAsia="es-MX"/>
      </w:rPr>
      <w:drawing>
        <wp:anchor distT="0" distB="0" distL="114300" distR="114300" simplePos="0" relativeHeight="251659264" behindDoc="1" locked="0" layoutInCell="1" allowOverlap="1">
          <wp:simplePos x="0" y="0"/>
          <wp:positionH relativeFrom="column">
            <wp:posOffset>-946785</wp:posOffset>
          </wp:positionH>
          <wp:positionV relativeFrom="paragraph">
            <wp:posOffset>-438150</wp:posOffset>
          </wp:positionV>
          <wp:extent cx="1143000" cy="762000"/>
          <wp:effectExtent l="1905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1028700" cy="742950"/>
          <wp:effectExtent l="1905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2"/>
                  <a:srcRect/>
                  <a:stretch>
                    <a:fillRect/>
                  </a:stretch>
                </pic:blipFill>
                <pic:spPr bwMode="auto">
                  <a:xfrm>
                    <a:off x="0" y="0"/>
                    <a:ext cx="1028700"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7"/>
  </w:num>
  <w:num w:numId="5">
    <w:abstractNumId w:val="5"/>
  </w:num>
  <w:num w:numId="6">
    <w:abstractNumId w:val="8"/>
  </w:num>
  <w:num w:numId="7">
    <w:abstractNumId w:val="0"/>
  </w:num>
  <w:num w:numId="8">
    <w:abstractNumId w:val="9"/>
  </w:num>
  <w:num w:numId="9">
    <w:abstractNumId w:val="3"/>
  </w:num>
  <w:num w:numId="10">
    <w:abstractNumId w:val="6"/>
  </w:num>
  <w:num w:numId="11">
    <w:abstractNumId w:val="15"/>
  </w:num>
  <w:num w:numId="12">
    <w:abstractNumId w:val="2"/>
  </w:num>
  <w:num w:numId="13">
    <w:abstractNumId w:val="1"/>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970"/>
    <w:rsid w:val="0001063A"/>
    <w:rsid w:val="000106A5"/>
    <w:rsid w:val="000156D9"/>
    <w:rsid w:val="00020EA1"/>
    <w:rsid w:val="000219CC"/>
    <w:rsid w:val="00041550"/>
    <w:rsid w:val="00041B9F"/>
    <w:rsid w:val="00044063"/>
    <w:rsid w:val="000452AD"/>
    <w:rsid w:val="00047063"/>
    <w:rsid w:val="000529D5"/>
    <w:rsid w:val="000609D3"/>
    <w:rsid w:val="000864F6"/>
    <w:rsid w:val="00090C87"/>
    <w:rsid w:val="00096573"/>
    <w:rsid w:val="000A04BA"/>
    <w:rsid w:val="000B1B67"/>
    <w:rsid w:val="000C05D4"/>
    <w:rsid w:val="000C0A8F"/>
    <w:rsid w:val="000C3E62"/>
    <w:rsid w:val="000E1CAD"/>
    <w:rsid w:val="000E2768"/>
    <w:rsid w:val="000E4D84"/>
    <w:rsid w:val="000F347D"/>
    <w:rsid w:val="0010238E"/>
    <w:rsid w:val="001050A0"/>
    <w:rsid w:val="00105D38"/>
    <w:rsid w:val="0011028B"/>
    <w:rsid w:val="00112501"/>
    <w:rsid w:val="00124816"/>
    <w:rsid w:val="001273AC"/>
    <w:rsid w:val="001428AF"/>
    <w:rsid w:val="00155368"/>
    <w:rsid w:val="001B49DD"/>
    <w:rsid w:val="001C24C4"/>
    <w:rsid w:val="001C415F"/>
    <w:rsid w:val="001D3DBF"/>
    <w:rsid w:val="001F79A3"/>
    <w:rsid w:val="002002F4"/>
    <w:rsid w:val="00205AB6"/>
    <w:rsid w:val="00233983"/>
    <w:rsid w:val="002420FE"/>
    <w:rsid w:val="00252B03"/>
    <w:rsid w:val="00255AA1"/>
    <w:rsid w:val="00262590"/>
    <w:rsid w:val="002732B8"/>
    <w:rsid w:val="00292F88"/>
    <w:rsid w:val="002B562D"/>
    <w:rsid w:val="002B6EF3"/>
    <w:rsid w:val="002C4B20"/>
    <w:rsid w:val="002D11FF"/>
    <w:rsid w:val="002D552E"/>
    <w:rsid w:val="002E577C"/>
    <w:rsid w:val="00301C3E"/>
    <w:rsid w:val="003103A1"/>
    <w:rsid w:val="0031060A"/>
    <w:rsid w:val="00310A64"/>
    <w:rsid w:val="003126E9"/>
    <w:rsid w:val="00314AAB"/>
    <w:rsid w:val="0031742C"/>
    <w:rsid w:val="003203B0"/>
    <w:rsid w:val="00331D57"/>
    <w:rsid w:val="00344D08"/>
    <w:rsid w:val="0035062C"/>
    <w:rsid w:val="003565F0"/>
    <w:rsid w:val="00361CD4"/>
    <w:rsid w:val="00364491"/>
    <w:rsid w:val="00370A86"/>
    <w:rsid w:val="003811E1"/>
    <w:rsid w:val="00383FFA"/>
    <w:rsid w:val="00387BDE"/>
    <w:rsid w:val="00393F3C"/>
    <w:rsid w:val="003A3FFD"/>
    <w:rsid w:val="003A5CE0"/>
    <w:rsid w:val="003A6DD2"/>
    <w:rsid w:val="003A7995"/>
    <w:rsid w:val="003A7EBA"/>
    <w:rsid w:val="003B1010"/>
    <w:rsid w:val="003B481C"/>
    <w:rsid w:val="003C3200"/>
    <w:rsid w:val="003C4766"/>
    <w:rsid w:val="003F224C"/>
    <w:rsid w:val="003F2E8D"/>
    <w:rsid w:val="003F4462"/>
    <w:rsid w:val="003F75A6"/>
    <w:rsid w:val="00410E1A"/>
    <w:rsid w:val="00415014"/>
    <w:rsid w:val="00415256"/>
    <w:rsid w:val="00420341"/>
    <w:rsid w:val="004225A0"/>
    <w:rsid w:val="0042374C"/>
    <w:rsid w:val="00443A05"/>
    <w:rsid w:val="0045585A"/>
    <w:rsid w:val="00460723"/>
    <w:rsid w:val="00460771"/>
    <w:rsid w:val="00462453"/>
    <w:rsid w:val="004653B6"/>
    <w:rsid w:val="00467075"/>
    <w:rsid w:val="00467F0D"/>
    <w:rsid w:val="00476C5F"/>
    <w:rsid w:val="004774AE"/>
    <w:rsid w:val="00480863"/>
    <w:rsid w:val="004A3589"/>
    <w:rsid w:val="004A58B8"/>
    <w:rsid w:val="004B41AD"/>
    <w:rsid w:val="004B68F3"/>
    <w:rsid w:val="004D11EC"/>
    <w:rsid w:val="004E0CAF"/>
    <w:rsid w:val="004E0E4B"/>
    <w:rsid w:val="00510D76"/>
    <w:rsid w:val="00523ABB"/>
    <w:rsid w:val="00550A1A"/>
    <w:rsid w:val="00552ECF"/>
    <w:rsid w:val="00553A40"/>
    <w:rsid w:val="00556471"/>
    <w:rsid w:val="00561B19"/>
    <w:rsid w:val="00561D34"/>
    <w:rsid w:val="005621B0"/>
    <w:rsid w:val="00572109"/>
    <w:rsid w:val="00577CBD"/>
    <w:rsid w:val="00593D96"/>
    <w:rsid w:val="005B239B"/>
    <w:rsid w:val="005B33BE"/>
    <w:rsid w:val="005D59DD"/>
    <w:rsid w:val="005D661F"/>
    <w:rsid w:val="005E08E7"/>
    <w:rsid w:val="005E5891"/>
    <w:rsid w:val="005F3231"/>
    <w:rsid w:val="005F73EF"/>
    <w:rsid w:val="00601BAF"/>
    <w:rsid w:val="00602C42"/>
    <w:rsid w:val="00607FE0"/>
    <w:rsid w:val="00610EE2"/>
    <w:rsid w:val="00611CEA"/>
    <w:rsid w:val="00613B32"/>
    <w:rsid w:val="0061566B"/>
    <w:rsid w:val="00617640"/>
    <w:rsid w:val="006208C7"/>
    <w:rsid w:val="00632538"/>
    <w:rsid w:val="006437D6"/>
    <w:rsid w:val="00646356"/>
    <w:rsid w:val="00646774"/>
    <w:rsid w:val="006479C1"/>
    <w:rsid w:val="00657677"/>
    <w:rsid w:val="00672CA8"/>
    <w:rsid w:val="006875F1"/>
    <w:rsid w:val="00691195"/>
    <w:rsid w:val="0069456D"/>
    <w:rsid w:val="006956FC"/>
    <w:rsid w:val="006A25AB"/>
    <w:rsid w:val="006B01F3"/>
    <w:rsid w:val="006B510E"/>
    <w:rsid w:val="006C423B"/>
    <w:rsid w:val="006D5EE9"/>
    <w:rsid w:val="006E33CC"/>
    <w:rsid w:val="006F0B4A"/>
    <w:rsid w:val="006F669D"/>
    <w:rsid w:val="00703FC6"/>
    <w:rsid w:val="007112EF"/>
    <w:rsid w:val="0071353C"/>
    <w:rsid w:val="007152AE"/>
    <w:rsid w:val="007160B2"/>
    <w:rsid w:val="00716C1C"/>
    <w:rsid w:val="0072196E"/>
    <w:rsid w:val="00736A10"/>
    <w:rsid w:val="00753145"/>
    <w:rsid w:val="007545AD"/>
    <w:rsid w:val="00765AF5"/>
    <w:rsid w:val="00765F72"/>
    <w:rsid w:val="00773A13"/>
    <w:rsid w:val="00775408"/>
    <w:rsid w:val="00781295"/>
    <w:rsid w:val="00781370"/>
    <w:rsid w:val="00786AB3"/>
    <w:rsid w:val="00791211"/>
    <w:rsid w:val="00793979"/>
    <w:rsid w:val="00796DC5"/>
    <w:rsid w:val="007A23D3"/>
    <w:rsid w:val="007B1F23"/>
    <w:rsid w:val="007B794F"/>
    <w:rsid w:val="007C563F"/>
    <w:rsid w:val="007C67B9"/>
    <w:rsid w:val="007D6670"/>
    <w:rsid w:val="007E2C35"/>
    <w:rsid w:val="007E46E9"/>
    <w:rsid w:val="007F028F"/>
    <w:rsid w:val="007F4E96"/>
    <w:rsid w:val="0080342C"/>
    <w:rsid w:val="008074CE"/>
    <w:rsid w:val="008160A3"/>
    <w:rsid w:val="00826463"/>
    <w:rsid w:val="00830258"/>
    <w:rsid w:val="008342E5"/>
    <w:rsid w:val="008344FC"/>
    <w:rsid w:val="00844B6F"/>
    <w:rsid w:val="00853B1D"/>
    <w:rsid w:val="0085555C"/>
    <w:rsid w:val="00863238"/>
    <w:rsid w:val="008653E1"/>
    <w:rsid w:val="00870B24"/>
    <w:rsid w:val="00871EDA"/>
    <w:rsid w:val="0087558D"/>
    <w:rsid w:val="00876D75"/>
    <w:rsid w:val="008825BB"/>
    <w:rsid w:val="00891A22"/>
    <w:rsid w:val="008958C9"/>
    <w:rsid w:val="00895BD4"/>
    <w:rsid w:val="008971F2"/>
    <w:rsid w:val="008A3073"/>
    <w:rsid w:val="008A6E8B"/>
    <w:rsid w:val="008D0445"/>
    <w:rsid w:val="008D0FD3"/>
    <w:rsid w:val="008D2F4C"/>
    <w:rsid w:val="008E0B10"/>
    <w:rsid w:val="008E1555"/>
    <w:rsid w:val="008E7B90"/>
    <w:rsid w:val="008F1E7E"/>
    <w:rsid w:val="008F2313"/>
    <w:rsid w:val="008F4A2E"/>
    <w:rsid w:val="008F4FF9"/>
    <w:rsid w:val="00907ACF"/>
    <w:rsid w:val="0091668E"/>
    <w:rsid w:val="009202C7"/>
    <w:rsid w:val="0092150D"/>
    <w:rsid w:val="00922B91"/>
    <w:rsid w:val="00922C75"/>
    <w:rsid w:val="009336E3"/>
    <w:rsid w:val="009338D2"/>
    <w:rsid w:val="00941EFF"/>
    <w:rsid w:val="009473B3"/>
    <w:rsid w:val="00947F2F"/>
    <w:rsid w:val="009518A0"/>
    <w:rsid w:val="00952E1E"/>
    <w:rsid w:val="00957152"/>
    <w:rsid w:val="00962023"/>
    <w:rsid w:val="009752AF"/>
    <w:rsid w:val="009763AF"/>
    <w:rsid w:val="00977143"/>
    <w:rsid w:val="00990BD7"/>
    <w:rsid w:val="00990E2B"/>
    <w:rsid w:val="009956DC"/>
    <w:rsid w:val="009B004B"/>
    <w:rsid w:val="009C099C"/>
    <w:rsid w:val="009C455A"/>
    <w:rsid w:val="009C5680"/>
    <w:rsid w:val="009C57C0"/>
    <w:rsid w:val="009C61A9"/>
    <w:rsid w:val="009D2057"/>
    <w:rsid w:val="009E2E64"/>
    <w:rsid w:val="009F34F1"/>
    <w:rsid w:val="009F7C42"/>
    <w:rsid w:val="00A13580"/>
    <w:rsid w:val="00A177F5"/>
    <w:rsid w:val="00A24CA1"/>
    <w:rsid w:val="00A314C3"/>
    <w:rsid w:val="00A334BF"/>
    <w:rsid w:val="00A3358B"/>
    <w:rsid w:val="00A354D1"/>
    <w:rsid w:val="00A51543"/>
    <w:rsid w:val="00A62E65"/>
    <w:rsid w:val="00A634E8"/>
    <w:rsid w:val="00A747D2"/>
    <w:rsid w:val="00A8073B"/>
    <w:rsid w:val="00AA7CFC"/>
    <w:rsid w:val="00AB0A65"/>
    <w:rsid w:val="00AC1BDF"/>
    <w:rsid w:val="00AC2965"/>
    <w:rsid w:val="00AC6B64"/>
    <w:rsid w:val="00AD6877"/>
    <w:rsid w:val="00AE3245"/>
    <w:rsid w:val="00AE54A9"/>
    <w:rsid w:val="00AE5E99"/>
    <w:rsid w:val="00B06D6B"/>
    <w:rsid w:val="00B0773D"/>
    <w:rsid w:val="00B15114"/>
    <w:rsid w:val="00B216F7"/>
    <w:rsid w:val="00B21ED0"/>
    <w:rsid w:val="00B22A8E"/>
    <w:rsid w:val="00B31772"/>
    <w:rsid w:val="00B33BF7"/>
    <w:rsid w:val="00B40970"/>
    <w:rsid w:val="00B44564"/>
    <w:rsid w:val="00B4634A"/>
    <w:rsid w:val="00B5136F"/>
    <w:rsid w:val="00B57DA3"/>
    <w:rsid w:val="00B63E54"/>
    <w:rsid w:val="00B645D3"/>
    <w:rsid w:val="00B7151A"/>
    <w:rsid w:val="00B73A9D"/>
    <w:rsid w:val="00B842A0"/>
    <w:rsid w:val="00B84CDC"/>
    <w:rsid w:val="00BA6426"/>
    <w:rsid w:val="00BA6CA1"/>
    <w:rsid w:val="00BB3E49"/>
    <w:rsid w:val="00BB4478"/>
    <w:rsid w:val="00BC1472"/>
    <w:rsid w:val="00BC1706"/>
    <w:rsid w:val="00BC5EE7"/>
    <w:rsid w:val="00BC71C8"/>
    <w:rsid w:val="00BD3E07"/>
    <w:rsid w:val="00BE29FE"/>
    <w:rsid w:val="00BF31F1"/>
    <w:rsid w:val="00BF5C54"/>
    <w:rsid w:val="00C037A8"/>
    <w:rsid w:val="00C041B0"/>
    <w:rsid w:val="00C0457F"/>
    <w:rsid w:val="00C063D7"/>
    <w:rsid w:val="00C06A7F"/>
    <w:rsid w:val="00C3186F"/>
    <w:rsid w:val="00C4209F"/>
    <w:rsid w:val="00C4640F"/>
    <w:rsid w:val="00C47B7F"/>
    <w:rsid w:val="00C5335B"/>
    <w:rsid w:val="00C54EAF"/>
    <w:rsid w:val="00C718C9"/>
    <w:rsid w:val="00C833FA"/>
    <w:rsid w:val="00C84CAB"/>
    <w:rsid w:val="00CB3B13"/>
    <w:rsid w:val="00CC1570"/>
    <w:rsid w:val="00CC4B28"/>
    <w:rsid w:val="00CC51D1"/>
    <w:rsid w:val="00CC6A83"/>
    <w:rsid w:val="00CC7CEA"/>
    <w:rsid w:val="00CD59CF"/>
    <w:rsid w:val="00CD7580"/>
    <w:rsid w:val="00CF11DB"/>
    <w:rsid w:val="00CF21C2"/>
    <w:rsid w:val="00CF4D8C"/>
    <w:rsid w:val="00D00D5F"/>
    <w:rsid w:val="00D12F52"/>
    <w:rsid w:val="00D146CF"/>
    <w:rsid w:val="00D201B0"/>
    <w:rsid w:val="00D22EE9"/>
    <w:rsid w:val="00D32FC7"/>
    <w:rsid w:val="00D34AAA"/>
    <w:rsid w:val="00D353DA"/>
    <w:rsid w:val="00D418B2"/>
    <w:rsid w:val="00D50458"/>
    <w:rsid w:val="00D67E5E"/>
    <w:rsid w:val="00D70639"/>
    <w:rsid w:val="00D72AB1"/>
    <w:rsid w:val="00D73C61"/>
    <w:rsid w:val="00D752C5"/>
    <w:rsid w:val="00D7642D"/>
    <w:rsid w:val="00D8488F"/>
    <w:rsid w:val="00D85B26"/>
    <w:rsid w:val="00D93F31"/>
    <w:rsid w:val="00D945CA"/>
    <w:rsid w:val="00D976A0"/>
    <w:rsid w:val="00DB40CD"/>
    <w:rsid w:val="00DD0CC0"/>
    <w:rsid w:val="00DD2E1B"/>
    <w:rsid w:val="00DE3879"/>
    <w:rsid w:val="00E03286"/>
    <w:rsid w:val="00E04AEB"/>
    <w:rsid w:val="00E054F3"/>
    <w:rsid w:val="00E07ACD"/>
    <w:rsid w:val="00E143A7"/>
    <w:rsid w:val="00E16A37"/>
    <w:rsid w:val="00E31818"/>
    <w:rsid w:val="00E33E7E"/>
    <w:rsid w:val="00E343A5"/>
    <w:rsid w:val="00E36072"/>
    <w:rsid w:val="00E47A52"/>
    <w:rsid w:val="00E506FA"/>
    <w:rsid w:val="00E50D71"/>
    <w:rsid w:val="00E624AF"/>
    <w:rsid w:val="00E653D7"/>
    <w:rsid w:val="00E674B9"/>
    <w:rsid w:val="00E80521"/>
    <w:rsid w:val="00E815A6"/>
    <w:rsid w:val="00E85DE4"/>
    <w:rsid w:val="00E95738"/>
    <w:rsid w:val="00EB6709"/>
    <w:rsid w:val="00EC3550"/>
    <w:rsid w:val="00ED0199"/>
    <w:rsid w:val="00ED13FB"/>
    <w:rsid w:val="00EE3952"/>
    <w:rsid w:val="00EF3B4C"/>
    <w:rsid w:val="00EF7BDE"/>
    <w:rsid w:val="00F15881"/>
    <w:rsid w:val="00F178E4"/>
    <w:rsid w:val="00F36788"/>
    <w:rsid w:val="00F4245C"/>
    <w:rsid w:val="00F425E6"/>
    <w:rsid w:val="00F43D9B"/>
    <w:rsid w:val="00F509BA"/>
    <w:rsid w:val="00F532F8"/>
    <w:rsid w:val="00F60E33"/>
    <w:rsid w:val="00F70F5D"/>
    <w:rsid w:val="00F76A32"/>
    <w:rsid w:val="00F76C48"/>
    <w:rsid w:val="00F77314"/>
    <w:rsid w:val="00F85079"/>
    <w:rsid w:val="00FB1191"/>
    <w:rsid w:val="00FB5809"/>
    <w:rsid w:val="00FB6B08"/>
    <w:rsid w:val="00FB6F67"/>
    <w:rsid w:val="00FD4A5B"/>
    <w:rsid w:val="00FE0455"/>
    <w:rsid w:val="00FF2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A8"/>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A8"/>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296B-A344-46DE-8597-713ED64F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13</Pages>
  <Words>3395</Words>
  <Characters>18676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I.G.E.C.E.M</cp:lastModifiedBy>
  <cp:revision>15</cp:revision>
  <cp:lastPrinted>2015-07-17T18:36:00Z</cp:lastPrinted>
  <dcterms:created xsi:type="dcterms:W3CDTF">2015-07-16T21:57:00Z</dcterms:created>
  <dcterms:modified xsi:type="dcterms:W3CDTF">2015-07-27T16:49:00Z</dcterms:modified>
</cp:coreProperties>
</file>