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5F" w:rsidRDefault="001C415F" w:rsidP="00BC5EE7">
      <w:pPr>
        <w:jc w:val="center"/>
        <w:rPr>
          <w:rFonts w:ascii="Arial" w:hAnsi="Arial" w:cs="Arial"/>
          <w:b/>
          <w:sz w:val="21"/>
          <w:szCs w:val="21"/>
        </w:rPr>
      </w:pPr>
    </w:p>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Pr="00703FC6" w:rsidRDefault="00B40970">
      <w:pPr>
        <w:rPr>
          <w:rFonts w:ascii="Arial" w:hAnsi="Arial" w:cs="Arial"/>
          <w:sz w:val="21"/>
          <w:szCs w:val="21"/>
        </w:rPr>
      </w:pPr>
      <w:r w:rsidRPr="00703FC6">
        <w:rPr>
          <w:rFonts w:ascii="Arial" w:hAnsi="Arial" w:cs="Arial"/>
          <w:sz w:val="21"/>
          <w:szCs w:val="21"/>
        </w:rPr>
        <w:t>Información Contable</w:t>
      </w:r>
    </w:p>
    <w:p w:rsidR="00B40970" w:rsidRPr="00703FC6" w:rsidRDefault="00B40970" w:rsidP="00B40970">
      <w:pPr>
        <w:pStyle w:val="Prrafodelista"/>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Pr="00703FC6"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Prrafodelista"/>
        <w:numPr>
          <w:ilvl w:val="0"/>
          <w:numId w:val="2"/>
        </w:numPr>
        <w:rPr>
          <w:rFonts w:ascii="Arial" w:hAnsi="Arial" w:cs="Arial"/>
          <w:sz w:val="21"/>
          <w:szCs w:val="21"/>
        </w:rPr>
      </w:pPr>
      <w:r w:rsidRPr="00703FC6">
        <w:rPr>
          <w:rFonts w:ascii="Arial" w:hAnsi="Arial" w:cs="Arial"/>
          <w:sz w:val="21"/>
          <w:szCs w:val="21"/>
        </w:rPr>
        <w:t>Efectivo y Bancos</w:t>
      </w:r>
    </w:p>
    <w:p w:rsidR="00561B19" w:rsidRPr="00703FC6"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691"/>
        <w:gridCol w:w="3251"/>
      </w:tblGrid>
      <w:tr w:rsidR="00E31818" w:rsidRPr="00703FC6" w:rsidTr="00E31818">
        <w:tc>
          <w:tcPr>
            <w:tcW w:w="3112"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Fondo Fijo</w:t>
            </w:r>
          </w:p>
        </w:tc>
        <w:tc>
          <w:tcPr>
            <w:tcW w:w="2691" w:type="dxa"/>
            <w:vAlign w:val="center"/>
          </w:tcPr>
          <w:p w:rsidR="00E31818" w:rsidRPr="00703FC6" w:rsidRDefault="00E31818" w:rsidP="00E31818">
            <w:pPr>
              <w:jc w:val="center"/>
              <w:rPr>
                <w:rFonts w:ascii="Arial" w:hAnsi="Arial" w:cs="Arial"/>
                <w:sz w:val="21"/>
                <w:szCs w:val="21"/>
              </w:rPr>
            </w:pPr>
          </w:p>
        </w:tc>
        <w:tc>
          <w:tcPr>
            <w:tcW w:w="3251" w:type="dxa"/>
            <w:vAlign w:val="center"/>
          </w:tcPr>
          <w:p w:rsidR="00E31818" w:rsidRPr="00703FC6" w:rsidRDefault="00E31818" w:rsidP="00561B19">
            <w:pPr>
              <w:jc w:val="right"/>
              <w:rPr>
                <w:rFonts w:ascii="Arial" w:hAnsi="Arial" w:cs="Arial"/>
                <w:sz w:val="21"/>
                <w:szCs w:val="21"/>
              </w:rPr>
            </w:pPr>
            <w:r w:rsidRPr="00703FC6">
              <w:rPr>
                <w:rFonts w:ascii="Arial" w:hAnsi="Arial" w:cs="Arial"/>
                <w:sz w:val="21"/>
                <w:szCs w:val="21"/>
              </w:rPr>
              <w:t>26,000.00</w:t>
            </w:r>
          </w:p>
        </w:tc>
      </w:tr>
      <w:tr w:rsidR="00E31818" w:rsidRPr="00703FC6" w:rsidTr="00E31818">
        <w:tc>
          <w:tcPr>
            <w:tcW w:w="3112" w:type="dxa"/>
            <w:vAlign w:val="center"/>
          </w:tcPr>
          <w:p w:rsidR="00E31818" w:rsidRPr="00703FC6" w:rsidRDefault="00E31818" w:rsidP="009D5A96">
            <w:pPr>
              <w:jc w:val="left"/>
              <w:rPr>
                <w:rFonts w:ascii="Arial" w:hAnsi="Arial" w:cs="Arial"/>
                <w:sz w:val="21"/>
                <w:szCs w:val="21"/>
              </w:rPr>
            </w:pPr>
            <w:r w:rsidRPr="00703FC6">
              <w:rPr>
                <w:rFonts w:ascii="Arial" w:hAnsi="Arial" w:cs="Arial"/>
                <w:sz w:val="21"/>
                <w:szCs w:val="21"/>
              </w:rPr>
              <w:t xml:space="preserve">Banamex cuenta. </w:t>
            </w:r>
            <w:r w:rsidR="009D5A96">
              <w:rPr>
                <w:rFonts w:ascii="Arial" w:hAnsi="Arial" w:cs="Arial"/>
                <w:sz w:val="21"/>
                <w:szCs w:val="21"/>
              </w:rPr>
              <w:t>XXXX</w:t>
            </w:r>
            <w:r w:rsidRPr="00703FC6">
              <w:rPr>
                <w:rFonts w:ascii="Arial" w:hAnsi="Arial" w:cs="Arial"/>
                <w:sz w:val="21"/>
                <w:szCs w:val="21"/>
              </w:rPr>
              <w:t>04-6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251" w:type="dxa"/>
            <w:vAlign w:val="center"/>
          </w:tcPr>
          <w:p w:rsidR="00E31818" w:rsidRPr="00703FC6" w:rsidRDefault="009C57C0" w:rsidP="009C57C0">
            <w:pPr>
              <w:jc w:val="right"/>
              <w:rPr>
                <w:rFonts w:ascii="Arial" w:hAnsi="Arial" w:cs="Arial"/>
                <w:sz w:val="21"/>
                <w:szCs w:val="21"/>
              </w:rPr>
            </w:pPr>
            <w:r>
              <w:rPr>
                <w:rFonts w:ascii="Arial" w:hAnsi="Arial" w:cs="Arial"/>
                <w:sz w:val="21"/>
                <w:szCs w:val="21"/>
              </w:rPr>
              <w:t>1,584,843.77</w:t>
            </w:r>
          </w:p>
        </w:tc>
      </w:tr>
      <w:tr w:rsidR="00E31818" w:rsidRPr="00703FC6" w:rsidTr="00E31818">
        <w:tc>
          <w:tcPr>
            <w:tcW w:w="3112" w:type="dxa"/>
            <w:vAlign w:val="center"/>
          </w:tcPr>
          <w:p w:rsidR="00E31818" w:rsidRPr="00703FC6" w:rsidRDefault="00E31818" w:rsidP="009D5A96">
            <w:pPr>
              <w:jc w:val="left"/>
              <w:rPr>
                <w:rFonts w:ascii="Arial" w:hAnsi="Arial" w:cs="Arial"/>
                <w:sz w:val="21"/>
                <w:szCs w:val="21"/>
              </w:rPr>
            </w:pPr>
            <w:r w:rsidRPr="00703FC6">
              <w:rPr>
                <w:rFonts w:ascii="Arial" w:hAnsi="Arial" w:cs="Arial"/>
                <w:sz w:val="21"/>
                <w:szCs w:val="21"/>
              </w:rPr>
              <w:t xml:space="preserve">Banamex cuenta </w:t>
            </w:r>
            <w:r w:rsidR="009D5A96">
              <w:rPr>
                <w:rFonts w:ascii="Arial" w:hAnsi="Arial" w:cs="Arial"/>
                <w:sz w:val="21"/>
                <w:szCs w:val="21"/>
              </w:rPr>
              <w:t>XXXX</w:t>
            </w:r>
            <w:r w:rsidRPr="00703FC6">
              <w:rPr>
                <w:rFonts w:ascii="Arial" w:hAnsi="Arial" w:cs="Arial"/>
                <w:sz w:val="21"/>
                <w:szCs w:val="21"/>
              </w:rPr>
              <w:t>10-6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251" w:type="dxa"/>
            <w:vAlign w:val="center"/>
          </w:tcPr>
          <w:p w:rsidR="00E31818" w:rsidRPr="00703FC6" w:rsidRDefault="00047063" w:rsidP="009C57C0">
            <w:pPr>
              <w:jc w:val="right"/>
              <w:rPr>
                <w:rFonts w:ascii="Arial" w:hAnsi="Arial" w:cs="Arial"/>
                <w:sz w:val="21"/>
                <w:szCs w:val="21"/>
              </w:rPr>
            </w:pPr>
            <w:r>
              <w:rPr>
                <w:rFonts w:ascii="Arial" w:hAnsi="Arial" w:cs="Arial"/>
                <w:sz w:val="21"/>
                <w:szCs w:val="21"/>
              </w:rPr>
              <w:t>499,</w:t>
            </w:r>
            <w:r w:rsidR="009C57C0">
              <w:rPr>
                <w:rFonts w:ascii="Arial" w:hAnsi="Arial" w:cs="Arial"/>
                <w:sz w:val="21"/>
                <w:szCs w:val="21"/>
              </w:rPr>
              <w:t>405.67</w:t>
            </w:r>
          </w:p>
        </w:tc>
      </w:tr>
      <w:tr w:rsidR="00E31818" w:rsidRPr="00703FC6" w:rsidTr="00E31818">
        <w:tc>
          <w:tcPr>
            <w:tcW w:w="3112" w:type="dxa"/>
            <w:vAlign w:val="center"/>
          </w:tcPr>
          <w:p w:rsidR="00E31818" w:rsidRPr="00703FC6" w:rsidRDefault="00E31818" w:rsidP="009D5A96">
            <w:pPr>
              <w:jc w:val="left"/>
              <w:rPr>
                <w:rFonts w:ascii="Arial" w:hAnsi="Arial" w:cs="Arial"/>
                <w:sz w:val="21"/>
                <w:szCs w:val="21"/>
              </w:rPr>
            </w:pPr>
            <w:r w:rsidRPr="00703FC6">
              <w:rPr>
                <w:rFonts w:ascii="Arial" w:hAnsi="Arial" w:cs="Arial"/>
                <w:sz w:val="21"/>
                <w:szCs w:val="21"/>
              </w:rPr>
              <w:t xml:space="preserve">Afirme cuenta </w:t>
            </w:r>
            <w:r w:rsidR="009D5A96">
              <w:rPr>
                <w:rFonts w:ascii="Arial" w:hAnsi="Arial" w:cs="Arial"/>
                <w:sz w:val="21"/>
                <w:szCs w:val="21"/>
              </w:rPr>
              <w:t>XXXX</w:t>
            </w:r>
            <w:r w:rsidRPr="00703FC6">
              <w:rPr>
                <w:rFonts w:ascii="Arial" w:hAnsi="Arial" w:cs="Arial"/>
                <w:sz w:val="21"/>
                <w:szCs w:val="21"/>
              </w:rPr>
              <w:t>297</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251" w:type="dxa"/>
            <w:vAlign w:val="center"/>
          </w:tcPr>
          <w:p w:rsidR="00E31818" w:rsidRPr="00703FC6" w:rsidRDefault="009C57C0" w:rsidP="009C57C0">
            <w:pPr>
              <w:jc w:val="right"/>
              <w:rPr>
                <w:rFonts w:ascii="Arial" w:hAnsi="Arial" w:cs="Arial"/>
                <w:sz w:val="21"/>
                <w:szCs w:val="21"/>
              </w:rPr>
            </w:pPr>
            <w:r>
              <w:rPr>
                <w:rFonts w:ascii="Arial" w:hAnsi="Arial" w:cs="Arial"/>
                <w:sz w:val="21"/>
                <w:szCs w:val="21"/>
              </w:rPr>
              <w:t>2,930,545.21</w:t>
            </w:r>
          </w:p>
        </w:tc>
      </w:tr>
      <w:tr w:rsidR="00E04AEB" w:rsidRPr="00703FC6" w:rsidTr="00E31818">
        <w:tc>
          <w:tcPr>
            <w:tcW w:w="3112" w:type="dxa"/>
            <w:vAlign w:val="center"/>
          </w:tcPr>
          <w:p w:rsidR="00E04AEB" w:rsidRPr="00703FC6" w:rsidRDefault="00E04AEB" w:rsidP="009D5A96">
            <w:pPr>
              <w:jc w:val="left"/>
              <w:rPr>
                <w:rFonts w:ascii="Arial" w:hAnsi="Arial" w:cs="Arial"/>
                <w:sz w:val="21"/>
                <w:szCs w:val="21"/>
              </w:rPr>
            </w:pPr>
            <w:r w:rsidRPr="00703FC6">
              <w:rPr>
                <w:rFonts w:ascii="Arial" w:hAnsi="Arial" w:cs="Arial"/>
                <w:sz w:val="21"/>
                <w:szCs w:val="21"/>
              </w:rPr>
              <w:t xml:space="preserve">Afirme cuenta </w:t>
            </w:r>
            <w:r w:rsidR="009D5A96">
              <w:rPr>
                <w:rFonts w:ascii="Arial" w:hAnsi="Arial" w:cs="Arial"/>
                <w:sz w:val="21"/>
                <w:szCs w:val="21"/>
              </w:rPr>
              <w:t>XXXX</w:t>
            </w:r>
            <w:r w:rsidRPr="00703FC6">
              <w:rPr>
                <w:rFonts w:ascii="Arial" w:hAnsi="Arial" w:cs="Arial"/>
                <w:sz w:val="21"/>
                <w:szCs w:val="21"/>
              </w:rPr>
              <w:t>443</w:t>
            </w:r>
          </w:p>
        </w:tc>
        <w:tc>
          <w:tcPr>
            <w:tcW w:w="2691" w:type="dxa"/>
            <w:vAlign w:val="center"/>
          </w:tcPr>
          <w:p w:rsidR="00E04AEB" w:rsidRPr="00703FC6" w:rsidRDefault="00E04AEB" w:rsidP="00E31818">
            <w:pPr>
              <w:jc w:val="center"/>
              <w:rPr>
                <w:rFonts w:ascii="Arial" w:hAnsi="Arial" w:cs="Arial"/>
                <w:sz w:val="21"/>
                <w:szCs w:val="21"/>
              </w:rPr>
            </w:pPr>
            <w:r w:rsidRPr="00703FC6">
              <w:rPr>
                <w:rFonts w:ascii="Arial" w:hAnsi="Arial" w:cs="Arial"/>
                <w:sz w:val="21"/>
                <w:szCs w:val="21"/>
              </w:rPr>
              <w:t>Gasto de Inversión</w:t>
            </w:r>
          </w:p>
        </w:tc>
        <w:tc>
          <w:tcPr>
            <w:tcW w:w="3251" w:type="dxa"/>
            <w:vAlign w:val="center"/>
          </w:tcPr>
          <w:p w:rsidR="00E04AEB" w:rsidRPr="00703FC6" w:rsidRDefault="009C57C0" w:rsidP="009C57C0">
            <w:pPr>
              <w:jc w:val="right"/>
              <w:rPr>
                <w:rFonts w:ascii="Arial" w:hAnsi="Arial" w:cs="Arial"/>
                <w:sz w:val="21"/>
                <w:szCs w:val="21"/>
              </w:rPr>
            </w:pPr>
            <w:r>
              <w:rPr>
                <w:rFonts w:ascii="Arial" w:hAnsi="Arial" w:cs="Arial"/>
                <w:sz w:val="21"/>
                <w:szCs w:val="21"/>
              </w:rPr>
              <w:t>1,453,221.84</w:t>
            </w:r>
          </w:p>
        </w:tc>
      </w:tr>
      <w:tr w:rsidR="00E04AEB" w:rsidRPr="00703FC6" w:rsidTr="00E31818">
        <w:tc>
          <w:tcPr>
            <w:tcW w:w="3112" w:type="dxa"/>
            <w:vAlign w:val="center"/>
          </w:tcPr>
          <w:p w:rsidR="00E04AEB" w:rsidRPr="00703FC6" w:rsidRDefault="00E04AEB" w:rsidP="009D5A96">
            <w:pPr>
              <w:jc w:val="left"/>
              <w:rPr>
                <w:rFonts w:ascii="Arial" w:hAnsi="Arial" w:cs="Arial"/>
                <w:sz w:val="21"/>
                <w:szCs w:val="21"/>
              </w:rPr>
            </w:pPr>
            <w:r w:rsidRPr="00703FC6">
              <w:rPr>
                <w:rFonts w:ascii="Arial" w:hAnsi="Arial" w:cs="Arial"/>
                <w:sz w:val="21"/>
                <w:szCs w:val="21"/>
              </w:rPr>
              <w:t xml:space="preserve">Afirme cuenta  </w:t>
            </w:r>
            <w:r w:rsidR="009D5A96">
              <w:rPr>
                <w:rFonts w:ascii="Arial" w:hAnsi="Arial" w:cs="Arial"/>
                <w:sz w:val="21"/>
                <w:szCs w:val="21"/>
              </w:rPr>
              <w:t>XXXX</w:t>
            </w:r>
            <w:r w:rsidRPr="00703FC6">
              <w:rPr>
                <w:rFonts w:ascii="Arial" w:hAnsi="Arial" w:cs="Arial"/>
                <w:sz w:val="21"/>
                <w:szCs w:val="21"/>
              </w:rPr>
              <w:t>451</w:t>
            </w:r>
          </w:p>
        </w:tc>
        <w:tc>
          <w:tcPr>
            <w:tcW w:w="2691" w:type="dxa"/>
            <w:vAlign w:val="center"/>
          </w:tcPr>
          <w:p w:rsidR="00E04AEB" w:rsidRPr="00703FC6" w:rsidRDefault="00E04AEB" w:rsidP="00E31818">
            <w:pPr>
              <w:jc w:val="center"/>
              <w:rPr>
                <w:rFonts w:ascii="Arial" w:hAnsi="Arial" w:cs="Arial"/>
                <w:sz w:val="21"/>
                <w:szCs w:val="21"/>
              </w:rPr>
            </w:pPr>
            <w:r w:rsidRPr="00703FC6">
              <w:rPr>
                <w:rFonts w:ascii="Arial" w:hAnsi="Arial" w:cs="Arial"/>
                <w:sz w:val="21"/>
                <w:szCs w:val="21"/>
              </w:rPr>
              <w:t>Gasto de Inversión</w:t>
            </w:r>
          </w:p>
        </w:tc>
        <w:tc>
          <w:tcPr>
            <w:tcW w:w="3251" w:type="dxa"/>
            <w:vAlign w:val="center"/>
          </w:tcPr>
          <w:p w:rsidR="00E04AEB" w:rsidRPr="00703FC6" w:rsidRDefault="00E04AEB" w:rsidP="00ED13FB">
            <w:pPr>
              <w:jc w:val="right"/>
              <w:rPr>
                <w:rFonts w:ascii="Arial" w:hAnsi="Arial" w:cs="Arial"/>
                <w:sz w:val="21"/>
                <w:szCs w:val="21"/>
              </w:rPr>
            </w:pPr>
            <w:r>
              <w:rPr>
                <w:rFonts w:ascii="Arial" w:hAnsi="Arial" w:cs="Arial"/>
                <w:sz w:val="21"/>
                <w:szCs w:val="21"/>
              </w:rPr>
              <w:t>22,166.67</w:t>
            </w:r>
          </w:p>
        </w:tc>
      </w:tr>
      <w:tr w:rsidR="00E04AEB" w:rsidRPr="00703FC6" w:rsidTr="00BD3E07">
        <w:tc>
          <w:tcPr>
            <w:tcW w:w="5803"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251" w:type="dxa"/>
            <w:vAlign w:val="center"/>
          </w:tcPr>
          <w:p w:rsidR="00E04AEB" w:rsidRPr="00C718C9" w:rsidRDefault="009C57C0" w:rsidP="00A13580">
            <w:pPr>
              <w:spacing w:before="100" w:after="100"/>
              <w:jc w:val="right"/>
              <w:rPr>
                <w:rFonts w:ascii="Arial" w:hAnsi="Arial" w:cs="Arial"/>
                <w:b/>
                <w:sz w:val="21"/>
                <w:szCs w:val="21"/>
              </w:rPr>
            </w:pPr>
            <w:r>
              <w:rPr>
                <w:rFonts w:ascii="Arial" w:hAnsi="Arial" w:cs="Arial"/>
                <w:b/>
                <w:sz w:val="21"/>
                <w:szCs w:val="21"/>
              </w:rPr>
              <w:t>6,440,183.16</w:t>
            </w:r>
          </w:p>
        </w:tc>
      </w:tr>
    </w:tbl>
    <w:p w:rsidR="00561B19" w:rsidRPr="00703FC6" w:rsidRDefault="00CC7CEA" w:rsidP="00CC7CEA">
      <w:pPr>
        <w:pStyle w:val="Prrafodelista"/>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Pr="00703FC6"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E31818" w:rsidRPr="00703FC6">
        <w:rPr>
          <w:rFonts w:ascii="Arial" w:hAnsi="Arial" w:cs="Arial"/>
          <w:sz w:val="21"/>
          <w:szCs w:val="21"/>
        </w:rPr>
        <w:t>y anticipo a proveedores por adquisición de bienes o prestación de servicios, está conformada por: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691"/>
        <w:gridCol w:w="3251"/>
      </w:tblGrid>
      <w:tr w:rsidR="00E31818" w:rsidRPr="00703FC6" w:rsidTr="00BD3E07">
        <w:tc>
          <w:tcPr>
            <w:tcW w:w="3112"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91" w:type="dxa"/>
            <w:vAlign w:val="center"/>
          </w:tcPr>
          <w:p w:rsidR="00BF5C54" w:rsidRPr="00703FC6" w:rsidRDefault="00BF5C54" w:rsidP="009338D2">
            <w:pPr>
              <w:jc w:val="center"/>
              <w:rPr>
                <w:rFonts w:ascii="Arial" w:hAnsi="Arial" w:cs="Arial"/>
                <w:sz w:val="21"/>
                <w:szCs w:val="21"/>
              </w:rPr>
            </w:pPr>
            <w:r w:rsidRPr="00703FC6">
              <w:rPr>
                <w:rFonts w:ascii="Arial" w:hAnsi="Arial" w:cs="Arial"/>
                <w:sz w:val="21"/>
                <w:szCs w:val="21"/>
              </w:rPr>
              <w:t>Facturas pendientes de pago y gastos a comprobar</w:t>
            </w:r>
            <w:r>
              <w:rPr>
                <w:rFonts w:ascii="Arial" w:hAnsi="Arial" w:cs="Arial"/>
                <w:sz w:val="21"/>
                <w:szCs w:val="21"/>
              </w:rPr>
              <w:t xml:space="preserve"> </w:t>
            </w:r>
          </w:p>
        </w:tc>
        <w:tc>
          <w:tcPr>
            <w:tcW w:w="3251" w:type="dxa"/>
            <w:vAlign w:val="center"/>
          </w:tcPr>
          <w:p w:rsidR="00BF5C54" w:rsidRDefault="009C57C0" w:rsidP="00047063">
            <w:pPr>
              <w:jc w:val="right"/>
              <w:rPr>
                <w:rFonts w:ascii="Arial" w:hAnsi="Arial" w:cs="Arial"/>
                <w:sz w:val="21"/>
                <w:szCs w:val="21"/>
              </w:rPr>
            </w:pPr>
            <w:r>
              <w:rPr>
                <w:rFonts w:ascii="Arial" w:hAnsi="Arial" w:cs="Arial"/>
                <w:sz w:val="21"/>
                <w:szCs w:val="21"/>
              </w:rPr>
              <w:t>271,449.14</w:t>
            </w:r>
          </w:p>
        </w:tc>
      </w:tr>
      <w:tr w:rsidR="009C57C0" w:rsidRPr="00703FC6" w:rsidTr="00B5136F">
        <w:tc>
          <w:tcPr>
            <w:tcW w:w="3112" w:type="dxa"/>
            <w:vAlign w:val="center"/>
          </w:tcPr>
          <w:p w:rsidR="009C57C0" w:rsidRPr="00703FC6" w:rsidRDefault="009C57C0" w:rsidP="00B5136F">
            <w:pPr>
              <w:jc w:val="left"/>
              <w:rPr>
                <w:rFonts w:ascii="Arial" w:hAnsi="Arial" w:cs="Arial"/>
                <w:sz w:val="21"/>
                <w:szCs w:val="21"/>
              </w:rPr>
            </w:pPr>
            <w:r>
              <w:rPr>
                <w:rFonts w:ascii="Arial" w:hAnsi="Arial" w:cs="Arial"/>
                <w:sz w:val="21"/>
                <w:szCs w:val="21"/>
              </w:rPr>
              <w:t>Cuentas por Pagar a Corto Plazo</w:t>
            </w:r>
          </w:p>
        </w:tc>
        <w:tc>
          <w:tcPr>
            <w:tcW w:w="2691" w:type="dxa"/>
            <w:vAlign w:val="center"/>
          </w:tcPr>
          <w:p w:rsidR="009C57C0" w:rsidRPr="00703FC6" w:rsidRDefault="009C57C0" w:rsidP="009338D2">
            <w:pPr>
              <w:jc w:val="center"/>
              <w:rPr>
                <w:rFonts w:ascii="Arial" w:hAnsi="Arial" w:cs="Arial"/>
                <w:sz w:val="21"/>
                <w:szCs w:val="21"/>
              </w:rPr>
            </w:pPr>
            <w:r>
              <w:rPr>
                <w:rFonts w:ascii="Arial" w:hAnsi="Arial" w:cs="Arial"/>
                <w:sz w:val="21"/>
                <w:szCs w:val="21"/>
              </w:rPr>
              <w:t>Subsidio de gasto op</w:t>
            </w:r>
            <w:r w:rsidR="006E33CC">
              <w:rPr>
                <w:rFonts w:ascii="Arial" w:hAnsi="Arial" w:cs="Arial"/>
                <w:sz w:val="21"/>
                <w:szCs w:val="21"/>
              </w:rPr>
              <w:t>e</w:t>
            </w:r>
            <w:r>
              <w:rPr>
                <w:rFonts w:ascii="Arial" w:hAnsi="Arial" w:cs="Arial"/>
                <w:sz w:val="21"/>
                <w:szCs w:val="21"/>
              </w:rPr>
              <w:t>rativo</w:t>
            </w:r>
          </w:p>
        </w:tc>
        <w:tc>
          <w:tcPr>
            <w:tcW w:w="3251" w:type="dxa"/>
            <w:vAlign w:val="center"/>
          </w:tcPr>
          <w:p w:rsidR="009C57C0" w:rsidRDefault="006E33CC" w:rsidP="006E33CC">
            <w:pPr>
              <w:jc w:val="right"/>
              <w:rPr>
                <w:rFonts w:ascii="Arial" w:hAnsi="Arial" w:cs="Arial"/>
                <w:sz w:val="21"/>
                <w:szCs w:val="21"/>
              </w:rPr>
            </w:pPr>
            <w:r>
              <w:rPr>
                <w:rFonts w:ascii="Arial" w:hAnsi="Arial" w:cs="Arial"/>
                <w:sz w:val="21"/>
                <w:szCs w:val="21"/>
              </w:rPr>
              <w:t>169,645.98</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Anticipo a proveedores</w:t>
            </w:r>
          </w:p>
        </w:tc>
        <w:tc>
          <w:tcPr>
            <w:tcW w:w="2691" w:type="dxa"/>
            <w:vAlign w:val="center"/>
          </w:tcPr>
          <w:p w:rsidR="00BF5C54" w:rsidRPr="00703FC6" w:rsidRDefault="00BF5C54" w:rsidP="00D418B2">
            <w:pPr>
              <w:jc w:val="center"/>
              <w:rPr>
                <w:rFonts w:ascii="Arial" w:hAnsi="Arial" w:cs="Arial"/>
                <w:sz w:val="21"/>
                <w:szCs w:val="21"/>
              </w:rPr>
            </w:pPr>
            <w:r w:rsidRPr="00703FC6">
              <w:rPr>
                <w:rFonts w:ascii="Arial" w:hAnsi="Arial" w:cs="Arial"/>
                <w:sz w:val="21"/>
                <w:szCs w:val="21"/>
              </w:rPr>
              <w:t xml:space="preserve">Recarga TAG </w:t>
            </w:r>
            <w:proofErr w:type="spellStart"/>
            <w:r w:rsidRPr="00703FC6">
              <w:rPr>
                <w:rFonts w:ascii="Arial" w:hAnsi="Arial" w:cs="Arial"/>
                <w:sz w:val="21"/>
                <w:szCs w:val="21"/>
              </w:rPr>
              <w:t>Televía</w:t>
            </w:r>
            <w:proofErr w:type="spellEnd"/>
          </w:p>
        </w:tc>
        <w:tc>
          <w:tcPr>
            <w:tcW w:w="3251" w:type="dxa"/>
            <w:vAlign w:val="center"/>
          </w:tcPr>
          <w:p w:rsidR="00BF5C54" w:rsidRPr="00703FC6" w:rsidRDefault="00047063" w:rsidP="006E33CC">
            <w:pPr>
              <w:jc w:val="right"/>
              <w:rPr>
                <w:rFonts w:ascii="Arial" w:hAnsi="Arial" w:cs="Arial"/>
                <w:sz w:val="21"/>
                <w:szCs w:val="21"/>
              </w:rPr>
            </w:pPr>
            <w:r>
              <w:rPr>
                <w:rFonts w:ascii="Arial" w:hAnsi="Arial" w:cs="Arial"/>
                <w:sz w:val="21"/>
                <w:szCs w:val="21"/>
              </w:rPr>
              <w:t>6,</w:t>
            </w:r>
            <w:r w:rsidR="006E33CC">
              <w:rPr>
                <w:rFonts w:ascii="Arial" w:hAnsi="Arial" w:cs="Arial"/>
                <w:sz w:val="21"/>
                <w:szCs w:val="21"/>
              </w:rPr>
              <w:t>892.94</w:t>
            </w:r>
          </w:p>
        </w:tc>
      </w:tr>
      <w:tr w:rsidR="00BF5C54" w:rsidRPr="00703FC6" w:rsidTr="00BD3E07">
        <w:tc>
          <w:tcPr>
            <w:tcW w:w="5803"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251" w:type="dxa"/>
            <w:vAlign w:val="center"/>
          </w:tcPr>
          <w:p w:rsidR="00BF5C54" w:rsidRPr="00BC71C8" w:rsidRDefault="006E33CC" w:rsidP="006E33CC">
            <w:pPr>
              <w:jc w:val="right"/>
              <w:rPr>
                <w:rFonts w:ascii="Arial" w:hAnsi="Arial" w:cs="Arial"/>
                <w:b/>
                <w:sz w:val="21"/>
                <w:szCs w:val="21"/>
              </w:rPr>
            </w:pPr>
            <w:r>
              <w:rPr>
                <w:rFonts w:ascii="Arial" w:hAnsi="Arial" w:cs="Arial"/>
                <w:b/>
                <w:sz w:val="21"/>
                <w:szCs w:val="21"/>
              </w:rPr>
              <w:t>447,988.06</w:t>
            </w:r>
          </w:p>
        </w:tc>
      </w:tr>
    </w:tbl>
    <w:p w:rsidR="001C415F" w:rsidRPr="004774AE" w:rsidRDefault="001C415F" w:rsidP="004774AE">
      <w:pPr>
        <w:rPr>
          <w:rFonts w:ascii="Arial" w:hAnsi="Arial" w:cs="Arial"/>
          <w:sz w:val="21"/>
          <w:szCs w:val="21"/>
        </w:rPr>
      </w:pPr>
    </w:p>
    <w:p w:rsidR="004774AE" w:rsidRDefault="004774AE">
      <w:pPr>
        <w:rPr>
          <w:rFonts w:ascii="Arial" w:hAnsi="Arial" w:cs="Arial"/>
          <w:sz w:val="21"/>
          <w:szCs w:val="21"/>
        </w:rPr>
      </w:pPr>
      <w:r>
        <w:rPr>
          <w:rFonts w:ascii="Arial" w:hAnsi="Arial" w:cs="Arial"/>
          <w:sz w:val="21"/>
          <w:szCs w:val="21"/>
        </w:rPr>
        <w:br w:type="page"/>
      </w:r>
    </w:p>
    <w:p w:rsidR="001C415F" w:rsidRDefault="001C415F">
      <w:pPr>
        <w:rPr>
          <w:rFonts w:ascii="Arial" w:hAnsi="Arial" w:cs="Arial"/>
          <w:sz w:val="21"/>
          <w:szCs w:val="21"/>
        </w:rPr>
      </w:pPr>
    </w:p>
    <w:p w:rsidR="00CC7CEA" w:rsidRPr="00703FC6" w:rsidRDefault="000864F6" w:rsidP="000864F6">
      <w:pPr>
        <w:pStyle w:val="Prrafodelista"/>
        <w:numPr>
          <w:ilvl w:val="0"/>
          <w:numId w:val="2"/>
        </w:numPr>
        <w:rPr>
          <w:rFonts w:ascii="Arial" w:hAnsi="Arial" w:cs="Arial"/>
          <w:sz w:val="21"/>
          <w:szCs w:val="21"/>
        </w:rPr>
      </w:pPr>
      <w:r w:rsidRPr="00703FC6">
        <w:rPr>
          <w:rFonts w:ascii="Arial" w:hAnsi="Arial" w:cs="Arial"/>
          <w:sz w:val="21"/>
          <w:szCs w:val="21"/>
        </w:rPr>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básico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 adjudicación o dación en pago, aún 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8D0FD3" w:rsidP="008D0FD3">
            <w:pPr>
              <w:jc w:val="right"/>
              <w:rPr>
                <w:rFonts w:ascii="Arial" w:hAnsi="Arial" w:cs="Arial"/>
                <w:sz w:val="21"/>
                <w:szCs w:val="21"/>
              </w:rPr>
            </w:pPr>
            <w:r>
              <w:rPr>
                <w:rFonts w:ascii="Arial" w:hAnsi="Arial" w:cs="Arial"/>
                <w:sz w:val="21"/>
                <w:szCs w:val="21"/>
              </w:rPr>
              <w:t>15,639,210.35</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E04AEB" w:rsidP="00E04AEB">
            <w:pPr>
              <w:jc w:val="right"/>
              <w:rPr>
                <w:rFonts w:ascii="Arial" w:hAnsi="Arial" w:cs="Arial"/>
                <w:sz w:val="21"/>
                <w:szCs w:val="21"/>
              </w:rPr>
            </w:pPr>
            <w:r>
              <w:rPr>
                <w:rFonts w:ascii="Arial" w:hAnsi="Arial" w:cs="Arial"/>
                <w:sz w:val="21"/>
                <w:szCs w:val="21"/>
              </w:rPr>
              <w:t>6,100,699.28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E04AEB" w:rsidP="00E04AEB">
            <w:pPr>
              <w:jc w:val="right"/>
              <w:rPr>
                <w:rFonts w:ascii="Arial" w:hAnsi="Arial" w:cs="Arial"/>
                <w:sz w:val="21"/>
                <w:szCs w:val="21"/>
              </w:rPr>
            </w:pPr>
            <w:r>
              <w:rPr>
                <w:rFonts w:ascii="Arial" w:hAnsi="Arial" w:cs="Arial"/>
                <w:sz w:val="21"/>
                <w:szCs w:val="21"/>
              </w:rPr>
              <w:t>2,923,944.14</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863238" w:rsidP="00BD3E07">
            <w:pPr>
              <w:jc w:val="right"/>
              <w:rPr>
                <w:rFonts w:ascii="Arial" w:hAnsi="Arial" w:cs="Arial"/>
                <w:sz w:val="21"/>
                <w:szCs w:val="21"/>
              </w:rPr>
            </w:pPr>
            <w:r w:rsidRPr="00703FC6">
              <w:rPr>
                <w:rFonts w:ascii="Arial" w:hAnsi="Arial" w:cs="Arial"/>
                <w:sz w:val="21"/>
                <w:szCs w:val="21"/>
              </w:rPr>
              <w:t>16,500.00</w:t>
            </w:r>
          </w:p>
        </w:tc>
      </w:tr>
      <w:tr w:rsidR="000864F6" w:rsidRPr="00703FC6" w:rsidTr="00863238">
        <w:tc>
          <w:tcPr>
            <w:tcW w:w="4503" w:type="dxa"/>
            <w:vAlign w:val="center"/>
          </w:tcPr>
          <w:p w:rsidR="000864F6" w:rsidRPr="00703FC6" w:rsidRDefault="00863238" w:rsidP="00BD3E07">
            <w:pPr>
              <w:jc w:val="left"/>
              <w:rPr>
                <w:rFonts w:ascii="Arial" w:hAnsi="Arial" w:cs="Arial"/>
                <w:sz w:val="21"/>
                <w:szCs w:val="21"/>
              </w:rPr>
            </w:pPr>
            <w:r w:rsidRPr="00703FC6">
              <w:rPr>
                <w:rFonts w:ascii="Arial" w:hAnsi="Arial" w:cs="Arial"/>
                <w:sz w:val="21"/>
                <w:szCs w:val="21"/>
              </w:rPr>
              <w:t>Suma</w:t>
            </w:r>
          </w:p>
        </w:tc>
        <w:tc>
          <w:tcPr>
            <w:tcW w:w="3251" w:type="dxa"/>
            <w:vAlign w:val="center"/>
          </w:tcPr>
          <w:p w:rsidR="000864F6" w:rsidRPr="008D0FD3" w:rsidRDefault="00CA4349" w:rsidP="00BC71C8">
            <w:pPr>
              <w:jc w:val="right"/>
              <w:rPr>
                <w:rFonts w:ascii="Arial" w:hAnsi="Arial" w:cs="Arial"/>
                <w:b/>
                <w:sz w:val="21"/>
                <w:szCs w:val="21"/>
              </w:rPr>
            </w:pPr>
            <w:r w:rsidRPr="008D0FD3">
              <w:rPr>
                <w:rFonts w:ascii="Arial" w:hAnsi="Arial" w:cs="Arial"/>
                <w:b/>
                <w:sz w:val="21"/>
                <w:szCs w:val="21"/>
              </w:rPr>
              <w:fldChar w:fldCharType="begin"/>
            </w:r>
            <w:r w:rsidR="008D0FD3" w:rsidRPr="008D0FD3">
              <w:rPr>
                <w:rFonts w:ascii="Arial" w:hAnsi="Arial" w:cs="Arial"/>
                <w:b/>
                <w:sz w:val="21"/>
                <w:szCs w:val="21"/>
              </w:rPr>
              <w:instrText xml:space="preserve"> =SUM(ABOVE) </w:instrText>
            </w:r>
            <w:r w:rsidRPr="008D0FD3">
              <w:rPr>
                <w:rFonts w:ascii="Arial" w:hAnsi="Arial" w:cs="Arial"/>
                <w:b/>
                <w:sz w:val="21"/>
                <w:szCs w:val="21"/>
              </w:rPr>
              <w:fldChar w:fldCharType="separate"/>
            </w:r>
            <w:r w:rsidR="008D0FD3" w:rsidRPr="008D0FD3">
              <w:rPr>
                <w:rFonts w:ascii="Arial" w:hAnsi="Arial" w:cs="Arial"/>
                <w:b/>
                <w:noProof/>
                <w:sz w:val="21"/>
                <w:szCs w:val="21"/>
              </w:rPr>
              <w:t>24,680,353.77</w:t>
            </w:r>
            <w:r w:rsidRPr="008D0FD3">
              <w:rPr>
                <w:rFonts w:ascii="Arial" w:hAnsi="Arial" w:cs="Arial"/>
                <w:b/>
                <w:sz w:val="21"/>
                <w:szCs w:val="21"/>
              </w:rPr>
              <w:fldChar w:fldCharType="end"/>
            </w:r>
          </w:p>
        </w:tc>
      </w:tr>
    </w:tbl>
    <w:p w:rsidR="000864F6" w:rsidRPr="00703FC6" w:rsidRDefault="00112501" w:rsidP="00112501">
      <w:pPr>
        <w:pStyle w:val="Prrafodelista"/>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F76C48">
        <w:rPr>
          <w:rFonts w:ascii="Arial" w:hAnsi="Arial" w:cs="Arial"/>
          <w:sz w:val="21"/>
          <w:szCs w:val="21"/>
        </w:rPr>
        <w:t>5</w:t>
      </w:r>
      <w:r w:rsidRPr="00703FC6">
        <w:rPr>
          <w:rFonts w:ascii="Arial" w:hAnsi="Arial" w:cs="Arial"/>
          <w:sz w:val="21"/>
          <w:szCs w:val="21"/>
        </w:rPr>
        <w:t xml:space="preserve"> serán los siguientes: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3"/>
        <w:gridCol w:w="433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sz w:val="21"/>
          <w:szCs w:val="21"/>
        </w:rPr>
      </w:pPr>
      <w:r w:rsidRPr="00703FC6">
        <w:rPr>
          <w:rFonts w:ascii="Arial" w:hAnsi="Arial" w:cs="Arial"/>
          <w:sz w:val="21"/>
          <w:szCs w:val="21"/>
        </w:rPr>
        <w:t xml:space="preserve">El saldo de la depreciación acumulada al </w:t>
      </w:r>
      <w:r w:rsidR="006E33CC">
        <w:rPr>
          <w:rFonts w:ascii="Arial" w:hAnsi="Arial" w:cs="Arial"/>
          <w:sz w:val="21"/>
          <w:szCs w:val="21"/>
        </w:rPr>
        <w:t xml:space="preserve">31 de marzo de </w:t>
      </w:r>
      <w:r w:rsidRPr="00703FC6">
        <w:rPr>
          <w:rFonts w:ascii="Arial" w:hAnsi="Arial" w:cs="Arial"/>
          <w:sz w:val="21"/>
          <w:szCs w:val="21"/>
        </w:rPr>
        <w:t>201</w:t>
      </w:r>
      <w:r w:rsidR="008E1555">
        <w:rPr>
          <w:rFonts w:ascii="Arial" w:hAnsi="Arial" w:cs="Arial"/>
          <w:sz w:val="21"/>
          <w:szCs w:val="21"/>
        </w:rPr>
        <w:t>5</w:t>
      </w:r>
      <w:r w:rsidRPr="00703FC6">
        <w:rPr>
          <w:rFonts w:ascii="Arial" w:hAnsi="Arial" w:cs="Arial"/>
          <w:sz w:val="21"/>
          <w:szCs w:val="21"/>
        </w:rPr>
        <w:t xml:space="preserve"> es de $</w:t>
      </w:r>
      <w:r w:rsidR="00B5136F">
        <w:rPr>
          <w:rFonts w:ascii="Arial" w:hAnsi="Arial" w:cs="Arial"/>
          <w:sz w:val="21"/>
          <w:szCs w:val="21"/>
        </w:rPr>
        <w:t>-</w:t>
      </w:r>
      <w:r w:rsidR="006E33CC">
        <w:rPr>
          <w:rFonts w:ascii="Arial" w:hAnsi="Arial" w:cs="Arial"/>
          <w:sz w:val="21"/>
          <w:szCs w:val="21"/>
        </w:rPr>
        <w:t>12,149145.46</w:t>
      </w:r>
      <w:r w:rsidR="00691195">
        <w:rPr>
          <w:rFonts w:ascii="Arial" w:hAnsi="Arial" w:cs="Arial"/>
          <w:sz w:val="21"/>
          <w:szCs w:val="21"/>
        </w:rPr>
        <w:t>.</w:t>
      </w:r>
    </w:p>
    <w:p w:rsidR="008D0FD3" w:rsidRDefault="008D0FD3">
      <w:pPr>
        <w:rPr>
          <w:rFonts w:ascii="Arial" w:hAnsi="Arial" w:cs="Arial"/>
          <w:sz w:val="21"/>
          <w:szCs w:val="21"/>
        </w:rPr>
      </w:pPr>
      <w:r>
        <w:rPr>
          <w:rFonts w:ascii="Arial" w:hAnsi="Arial" w:cs="Arial"/>
          <w:sz w:val="21"/>
          <w:szCs w:val="21"/>
        </w:rPr>
        <w:br w:type="page"/>
      </w:r>
    </w:p>
    <w:p w:rsidR="00393F3C" w:rsidRDefault="00703FC6" w:rsidP="00393F3C">
      <w:pPr>
        <w:pStyle w:val="Prrafodelista"/>
        <w:numPr>
          <w:ilvl w:val="0"/>
          <w:numId w:val="2"/>
        </w:numPr>
        <w:rPr>
          <w:rFonts w:ascii="Arial" w:hAnsi="Arial" w:cs="Arial"/>
          <w:sz w:val="21"/>
          <w:szCs w:val="21"/>
        </w:rPr>
      </w:pPr>
      <w:r>
        <w:rPr>
          <w:rFonts w:ascii="Arial" w:hAnsi="Arial" w:cs="Arial"/>
          <w:sz w:val="21"/>
          <w:szCs w:val="21"/>
        </w:rPr>
        <w:lastRenderedPageBreak/>
        <w:t>Otros Activos Diferidos</w:t>
      </w:r>
    </w:p>
    <w:p w:rsidR="00393F3C" w:rsidRDefault="00703FC6" w:rsidP="00393F3C">
      <w:pPr>
        <w:rPr>
          <w:rFonts w:ascii="Arial" w:hAnsi="Arial" w:cs="Arial"/>
          <w:sz w:val="21"/>
          <w:szCs w:val="21"/>
        </w:rPr>
      </w:pPr>
      <w:r>
        <w:rPr>
          <w:rFonts w:ascii="Arial" w:hAnsi="Arial" w:cs="Arial"/>
          <w:sz w:val="21"/>
          <w:szCs w:val="21"/>
        </w:rPr>
        <w:t>El saldo de este rubro por $ 111,412.86 corresponde a los depósitos en garantía otorgados por concepto de arrendamiento.</w:t>
      </w:r>
    </w:p>
    <w:p w:rsidR="001C415F" w:rsidRDefault="001C415F" w:rsidP="00112501">
      <w:pPr>
        <w:rPr>
          <w:rFonts w:ascii="Arial" w:hAnsi="Arial" w:cs="Arial"/>
          <w:sz w:val="21"/>
          <w:szCs w:val="21"/>
          <w:u w:val="single"/>
        </w:rPr>
      </w:pP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p>
    <w:p w:rsidR="00D7642D" w:rsidRPr="004D11EC" w:rsidRDefault="007E46E9" w:rsidP="007E46E9">
      <w:pPr>
        <w:pStyle w:val="Prrafodelista"/>
        <w:numPr>
          <w:ilvl w:val="0"/>
          <w:numId w:val="4"/>
        </w:numPr>
        <w:rPr>
          <w:rFonts w:ascii="Arial" w:hAnsi="Arial" w:cs="Arial"/>
          <w:sz w:val="21"/>
          <w:szCs w:val="21"/>
        </w:rPr>
      </w:pPr>
      <w:r w:rsidRPr="004D11EC">
        <w:rPr>
          <w:rFonts w:ascii="Arial" w:hAnsi="Arial" w:cs="Arial"/>
          <w:sz w:val="21"/>
          <w:szCs w:val="21"/>
        </w:rPr>
        <w:t>Cuentas por Pagar a Corto Plazo</w:t>
      </w:r>
    </w:p>
    <w:p w:rsidR="007E46E9" w:rsidRPr="004D11EC" w:rsidRDefault="007E46E9" w:rsidP="007E46E9">
      <w:pPr>
        <w:rPr>
          <w:rFonts w:ascii="Arial" w:hAnsi="Arial" w:cs="Arial"/>
          <w:sz w:val="21"/>
          <w:szCs w:val="21"/>
        </w:rPr>
      </w:pPr>
      <w:r w:rsidRPr="004D11EC">
        <w:rPr>
          <w:rFonts w:ascii="Arial" w:hAnsi="Arial" w:cs="Arial"/>
          <w:sz w:val="21"/>
          <w:szCs w:val="21"/>
        </w:rPr>
        <w:t xml:space="preserve">Compromisos adquiridos con los proveedores y por las obligaciones a cargo del organismo con motivo de la compra de materiales e insumos, prestación de servicios provisión de impuestos por pagar </w:t>
      </w:r>
      <w:r w:rsidR="00105D38" w:rsidRPr="004D11EC">
        <w:rPr>
          <w:rFonts w:ascii="Arial" w:hAnsi="Arial" w:cs="Arial"/>
          <w:sz w:val="21"/>
          <w:szCs w:val="21"/>
        </w:rPr>
        <w:t>y retenciones derivadas de la nómina, como se detallan a continuación:</w:t>
      </w:r>
    </w:p>
    <w:p w:rsidR="00105D38" w:rsidRPr="00C3186F" w:rsidRDefault="00A3358B" w:rsidP="00C3186F">
      <w:pPr>
        <w:pStyle w:val="Prrafodelista"/>
        <w:numPr>
          <w:ilvl w:val="0"/>
          <w:numId w:val="5"/>
        </w:numPr>
        <w:rPr>
          <w:rFonts w:ascii="Arial" w:hAnsi="Arial" w:cs="Arial"/>
          <w:sz w:val="21"/>
          <w:szCs w:val="21"/>
        </w:rPr>
      </w:pPr>
      <w:r w:rsidRPr="00C3186F">
        <w:rPr>
          <w:rFonts w:ascii="Arial" w:hAnsi="Arial" w:cs="Arial"/>
          <w:sz w:val="21"/>
          <w:szCs w:val="21"/>
        </w:rPr>
        <w:t>Proveedores</w:t>
      </w:r>
      <w:r w:rsidRPr="00C3186F">
        <w:rPr>
          <w:rFonts w:ascii="Arial" w:hAnsi="Arial" w:cs="Arial"/>
          <w:sz w:val="21"/>
          <w:szCs w:val="21"/>
        </w:rPr>
        <w:tab/>
      </w:r>
      <w:r w:rsidRPr="00C3186F">
        <w:rPr>
          <w:rFonts w:ascii="Arial" w:hAnsi="Arial" w:cs="Arial"/>
          <w:sz w:val="21"/>
          <w:szCs w:val="21"/>
        </w:rPr>
        <w:tab/>
      </w:r>
      <w:r w:rsidRPr="00C3186F">
        <w:rPr>
          <w:rFonts w:ascii="Arial" w:hAnsi="Arial" w:cs="Arial"/>
          <w:sz w:val="21"/>
          <w:szCs w:val="21"/>
        </w:rPr>
        <w:tab/>
        <w:t>$</w:t>
      </w:r>
      <w:r w:rsidR="006208C7">
        <w:rPr>
          <w:rFonts w:ascii="Arial" w:hAnsi="Arial" w:cs="Arial"/>
          <w:sz w:val="21"/>
          <w:szCs w:val="21"/>
        </w:rPr>
        <w:t>1,</w:t>
      </w:r>
      <w:r w:rsidR="006E33CC">
        <w:rPr>
          <w:rFonts w:ascii="Arial" w:hAnsi="Arial" w:cs="Arial"/>
          <w:sz w:val="21"/>
          <w:szCs w:val="21"/>
        </w:rPr>
        <w:t>137,561.33</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950"/>
        <w:gridCol w:w="3118"/>
      </w:tblGrid>
      <w:tr w:rsidR="00AE54A9" w:rsidRPr="004D11EC" w:rsidTr="004D11EC">
        <w:tc>
          <w:tcPr>
            <w:tcW w:w="3112" w:type="dxa"/>
            <w:vAlign w:val="center"/>
          </w:tcPr>
          <w:p w:rsidR="00AE54A9" w:rsidRPr="00B31772" w:rsidRDefault="00AE54A9" w:rsidP="00BD3E07">
            <w:pPr>
              <w:jc w:val="center"/>
              <w:rPr>
                <w:rFonts w:ascii="Arial" w:hAnsi="Arial" w:cs="Arial"/>
                <w:b/>
                <w:sz w:val="21"/>
                <w:szCs w:val="21"/>
              </w:rPr>
            </w:pPr>
            <w:r w:rsidRPr="00B31772">
              <w:rPr>
                <w:rFonts w:ascii="Arial" w:hAnsi="Arial" w:cs="Arial"/>
                <w:b/>
                <w:sz w:val="21"/>
                <w:szCs w:val="21"/>
              </w:rPr>
              <w:t>Cuenta</w:t>
            </w:r>
          </w:p>
        </w:tc>
        <w:tc>
          <w:tcPr>
            <w:tcW w:w="2950" w:type="dxa"/>
          </w:tcPr>
          <w:p w:rsidR="00AE54A9" w:rsidRPr="00B31772" w:rsidRDefault="00AE54A9" w:rsidP="00BD3E07">
            <w:pPr>
              <w:jc w:val="center"/>
              <w:rPr>
                <w:rFonts w:ascii="Arial" w:hAnsi="Arial" w:cs="Arial"/>
                <w:b/>
                <w:sz w:val="21"/>
                <w:szCs w:val="21"/>
              </w:rPr>
            </w:pPr>
            <w:r w:rsidRPr="00B31772">
              <w:rPr>
                <w:rFonts w:ascii="Arial" w:hAnsi="Arial" w:cs="Arial"/>
                <w:b/>
                <w:sz w:val="21"/>
                <w:szCs w:val="21"/>
              </w:rPr>
              <w:t>Concepto</w:t>
            </w:r>
          </w:p>
        </w:tc>
        <w:tc>
          <w:tcPr>
            <w:tcW w:w="3118" w:type="dxa"/>
            <w:vAlign w:val="center"/>
          </w:tcPr>
          <w:p w:rsidR="00AE54A9" w:rsidRPr="00B31772" w:rsidRDefault="00AE54A9" w:rsidP="00BD3E07">
            <w:pPr>
              <w:jc w:val="center"/>
              <w:rPr>
                <w:rFonts w:ascii="Arial" w:hAnsi="Arial" w:cs="Arial"/>
                <w:b/>
                <w:sz w:val="21"/>
                <w:szCs w:val="21"/>
              </w:rPr>
            </w:pPr>
            <w:r w:rsidRPr="00B31772">
              <w:rPr>
                <w:rFonts w:ascii="Arial" w:hAnsi="Arial" w:cs="Arial"/>
                <w:b/>
                <w:sz w:val="21"/>
                <w:szCs w:val="21"/>
              </w:rPr>
              <w:t>Importe</w:t>
            </w:r>
          </w:p>
        </w:tc>
      </w:tr>
      <w:tr w:rsidR="008D0FD3" w:rsidRPr="004D11EC" w:rsidTr="004D11EC">
        <w:tc>
          <w:tcPr>
            <w:tcW w:w="3112" w:type="dxa"/>
            <w:vAlign w:val="center"/>
          </w:tcPr>
          <w:p w:rsidR="008D0FD3" w:rsidRDefault="008D0FD3" w:rsidP="004D11EC">
            <w:pPr>
              <w:jc w:val="left"/>
              <w:rPr>
                <w:rFonts w:ascii="Arial" w:hAnsi="Arial" w:cs="Arial"/>
                <w:sz w:val="21"/>
                <w:szCs w:val="21"/>
              </w:rPr>
            </w:pPr>
            <w:r>
              <w:rPr>
                <w:rFonts w:ascii="Arial" w:hAnsi="Arial" w:cs="Arial"/>
                <w:sz w:val="21"/>
                <w:szCs w:val="21"/>
              </w:rPr>
              <w:t>Cuerpo de Guardias de Seguridad</w:t>
            </w:r>
          </w:p>
        </w:tc>
        <w:tc>
          <w:tcPr>
            <w:tcW w:w="2950" w:type="dxa"/>
            <w:vAlign w:val="center"/>
          </w:tcPr>
          <w:p w:rsidR="008D0FD3" w:rsidRDefault="008D0FD3" w:rsidP="006E33CC">
            <w:pPr>
              <w:rPr>
                <w:rFonts w:ascii="Arial" w:hAnsi="Arial" w:cs="Arial"/>
                <w:sz w:val="21"/>
                <w:szCs w:val="21"/>
              </w:rPr>
            </w:pPr>
            <w:r>
              <w:rPr>
                <w:rFonts w:ascii="Arial" w:hAnsi="Arial" w:cs="Arial"/>
                <w:sz w:val="21"/>
                <w:szCs w:val="21"/>
              </w:rPr>
              <w:t xml:space="preserve">Servicio de Vigilancia de </w:t>
            </w:r>
            <w:r w:rsidR="006E33CC">
              <w:rPr>
                <w:rFonts w:ascii="Arial" w:hAnsi="Arial" w:cs="Arial"/>
                <w:sz w:val="21"/>
                <w:szCs w:val="21"/>
              </w:rPr>
              <w:t>marzo</w:t>
            </w:r>
            <w:r w:rsidR="006875F1">
              <w:rPr>
                <w:rFonts w:ascii="Arial" w:hAnsi="Arial" w:cs="Arial"/>
                <w:sz w:val="21"/>
                <w:szCs w:val="21"/>
              </w:rPr>
              <w:t xml:space="preserve"> 2015</w:t>
            </w:r>
          </w:p>
        </w:tc>
        <w:tc>
          <w:tcPr>
            <w:tcW w:w="3118" w:type="dxa"/>
            <w:vAlign w:val="center"/>
          </w:tcPr>
          <w:p w:rsidR="008D0FD3" w:rsidRDefault="008D0FD3" w:rsidP="00383FFA">
            <w:pPr>
              <w:jc w:val="right"/>
              <w:rPr>
                <w:rFonts w:ascii="Arial" w:hAnsi="Arial" w:cs="Arial"/>
                <w:sz w:val="21"/>
                <w:szCs w:val="21"/>
              </w:rPr>
            </w:pPr>
            <w:r>
              <w:rPr>
                <w:rFonts w:ascii="Arial" w:hAnsi="Arial" w:cs="Arial"/>
                <w:sz w:val="21"/>
                <w:szCs w:val="21"/>
              </w:rPr>
              <w:t>9</w:t>
            </w:r>
            <w:r w:rsidR="00383FFA">
              <w:rPr>
                <w:rFonts w:ascii="Arial" w:hAnsi="Arial" w:cs="Arial"/>
                <w:sz w:val="21"/>
                <w:szCs w:val="21"/>
              </w:rPr>
              <w:t>8</w:t>
            </w:r>
            <w:r>
              <w:rPr>
                <w:rFonts w:ascii="Arial" w:hAnsi="Arial" w:cs="Arial"/>
                <w:sz w:val="21"/>
                <w:szCs w:val="21"/>
              </w:rPr>
              <w:t>,</w:t>
            </w:r>
            <w:r w:rsidR="00383FFA">
              <w:rPr>
                <w:rFonts w:ascii="Arial" w:hAnsi="Arial" w:cs="Arial"/>
                <w:sz w:val="21"/>
                <w:szCs w:val="21"/>
              </w:rPr>
              <w:t>805</w:t>
            </w:r>
            <w:r>
              <w:rPr>
                <w:rFonts w:ascii="Arial" w:hAnsi="Arial" w:cs="Arial"/>
                <w:sz w:val="21"/>
                <w:szCs w:val="21"/>
              </w:rPr>
              <w:t>.</w:t>
            </w:r>
            <w:r w:rsidR="00383FFA">
              <w:rPr>
                <w:rFonts w:ascii="Arial" w:hAnsi="Arial" w:cs="Arial"/>
                <w:sz w:val="21"/>
                <w:szCs w:val="21"/>
              </w:rPr>
              <w:t>12</w:t>
            </w:r>
          </w:p>
        </w:tc>
      </w:tr>
      <w:tr w:rsidR="006E33CC" w:rsidRPr="004D11EC" w:rsidTr="004D11EC">
        <w:tc>
          <w:tcPr>
            <w:tcW w:w="3112" w:type="dxa"/>
            <w:vAlign w:val="center"/>
          </w:tcPr>
          <w:p w:rsidR="006E33CC" w:rsidRDefault="006E33CC" w:rsidP="00BD3E07">
            <w:pPr>
              <w:jc w:val="left"/>
              <w:rPr>
                <w:rFonts w:ascii="Arial" w:hAnsi="Arial" w:cs="Arial"/>
                <w:sz w:val="21"/>
                <w:szCs w:val="21"/>
              </w:rPr>
            </w:pPr>
            <w:proofErr w:type="spellStart"/>
            <w:r>
              <w:rPr>
                <w:rFonts w:ascii="Arial" w:hAnsi="Arial" w:cs="Arial"/>
                <w:sz w:val="21"/>
                <w:szCs w:val="21"/>
              </w:rPr>
              <w:t>Rovle</w:t>
            </w:r>
            <w:proofErr w:type="spellEnd"/>
            <w:r>
              <w:rPr>
                <w:rFonts w:ascii="Arial" w:hAnsi="Arial" w:cs="Arial"/>
                <w:sz w:val="21"/>
                <w:szCs w:val="21"/>
              </w:rPr>
              <w:t xml:space="preserve"> Soluciones Integrales S.A.</w:t>
            </w:r>
          </w:p>
        </w:tc>
        <w:tc>
          <w:tcPr>
            <w:tcW w:w="2950" w:type="dxa"/>
            <w:vAlign w:val="center"/>
          </w:tcPr>
          <w:p w:rsidR="006E33CC" w:rsidRDefault="006E33CC" w:rsidP="00DB40CD">
            <w:pPr>
              <w:rPr>
                <w:rFonts w:ascii="Arial" w:hAnsi="Arial" w:cs="Arial"/>
                <w:sz w:val="21"/>
                <w:szCs w:val="21"/>
              </w:rPr>
            </w:pPr>
            <w:r>
              <w:rPr>
                <w:rFonts w:ascii="Arial" w:hAnsi="Arial" w:cs="Arial"/>
                <w:sz w:val="21"/>
                <w:szCs w:val="21"/>
              </w:rPr>
              <w:t>Compra de material le limpieza</w:t>
            </w:r>
          </w:p>
        </w:tc>
        <w:tc>
          <w:tcPr>
            <w:tcW w:w="3118" w:type="dxa"/>
            <w:vAlign w:val="center"/>
          </w:tcPr>
          <w:p w:rsidR="006E33CC" w:rsidRDefault="006E33CC" w:rsidP="00E04AEB">
            <w:pPr>
              <w:jc w:val="right"/>
              <w:rPr>
                <w:rFonts w:ascii="Arial" w:hAnsi="Arial" w:cs="Arial"/>
                <w:sz w:val="21"/>
                <w:szCs w:val="21"/>
              </w:rPr>
            </w:pPr>
            <w:r>
              <w:rPr>
                <w:rFonts w:ascii="Arial" w:hAnsi="Arial" w:cs="Arial"/>
                <w:sz w:val="21"/>
                <w:szCs w:val="21"/>
              </w:rPr>
              <w:t>5,667.76</w:t>
            </w:r>
          </w:p>
        </w:tc>
      </w:tr>
      <w:tr w:rsidR="006E33CC" w:rsidRPr="004D11EC" w:rsidTr="004D11EC">
        <w:tc>
          <w:tcPr>
            <w:tcW w:w="3112" w:type="dxa"/>
            <w:vAlign w:val="center"/>
          </w:tcPr>
          <w:p w:rsidR="006E33CC" w:rsidRDefault="006E33CC" w:rsidP="00BD3E07">
            <w:pPr>
              <w:jc w:val="left"/>
              <w:rPr>
                <w:rFonts w:ascii="Arial" w:hAnsi="Arial" w:cs="Arial"/>
                <w:sz w:val="21"/>
                <w:szCs w:val="21"/>
              </w:rPr>
            </w:pPr>
            <w:r>
              <w:rPr>
                <w:rFonts w:ascii="Arial" w:hAnsi="Arial" w:cs="Arial"/>
                <w:sz w:val="21"/>
                <w:szCs w:val="21"/>
              </w:rPr>
              <w:t>Claudia Villegas Mejía</w:t>
            </w:r>
          </w:p>
        </w:tc>
        <w:tc>
          <w:tcPr>
            <w:tcW w:w="2950" w:type="dxa"/>
            <w:vAlign w:val="center"/>
          </w:tcPr>
          <w:p w:rsidR="006E33CC" w:rsidRDefault="006E33CC" w:rsidP="00DB40CD">
            <w:pPr>
              <w:rPr>
                <w:rFonts w:ascii="Arial" w:hAnsi="Arial" w:cs="Arial"/>
                <w:sz w:val="21"/>
                <w:szCs w:val="21"/>
              </w:rPr>
            </w:pPr>
            <w:r>
              <w:rPr>
                <w:rFonts w:ascii="Arial" w:hAnsi="Arial" w:cs="Arial"/>
                <w:sz w:val="21"/>
                <w:szCs w:val="21"/>
              </w:rPr>
              <w:t>Compra de art. De papelería</w:t>
            </w:r>
          </w:p>
        </w:tc>
        <w:tc>
          <w:tcPr>
            <w:tcW w:w="3118" w:type="dxa"/>
            <w:vAlign w:val="center"/>
          </w:tcPr>
          <w:p w:rsidR="006E33CC" w:rsidRDefault="006E33CC" w:rsidP="00E04AEB">
            <w:pPr>
              <w:jc w:val="right"/>
              <w:rPr>
                <w:rFonts w:ascii="Arial" w:hAnsi="Arial" w:cs="Arial"/>
                <w:sz w:val="21"/>
                <w:szCs w:val="21"/>
              </w:rPr>
            </w:pPr>
            <w:r>
              <w:rPr>
                <w:rFonts w:ascii="Arial" w:hAnsi="Arial" w:cs="Arial"/>
                <w:sz w:val="21"/>
                <w:szCs w:val="21"/>
              </w:rPr>
              <w:t>719.20</w:t>
            </w:r>
          </w:p>
        </w:tc>
      </w:tr>
      <w:tr w:rsidR="00383FFA" w:rsidRPr="004D11EC" w:rsidTr="004D11EC">
        <w:tc>
          <w:tcPr>
            <w:tcW w:w="3112" w:type="dxa"/>
            <w:vAlign w:val="center"/>
          </w:tcPr>
          <w:p w:rsidR="00383FFA" w:rsidRDefault="00383FFA" w:rsidP="00BD3E07">
            <w:pPr>
              <w:jc w:val="left"/>
              <w:rPr>
                <w:rFonts w:ascii="Arial" w:hAnsi="Arial" w:cs="Arial"/>
                <w:sz w:val="21"/>
                <w:szCs w:val="21"/>
              </w:rPr>
            </w:pPr>
            <w:r>
              <w:rPr>
                <w:rFonts w:ascii="Arial" w:hAnsi="Arial" w:cs="Arial"/>
                <w:sz w:val="21"/>
                <w:szCs w:val="21"/>
              </w:rPr>
              <w:t>Rodríguez Vázquez  S.C.</w:t>
            </w:r>
          </w:p>
        </w:tc>
        <w:tc>
          <w:tcPr>
            <w:tcW w:w="2950" w:type="dxa"/>
            <w:vAlign w:val="center"/>
          </w:tcPr>
          <w:p w:rsidR="00383FFA" w:rsidRDefault="00383FFA" w:rsidP="00DB40CD">
            <w:pPr>
              <w:rPr>
                <w:rFonts w:ascii="Arial" w:hAnsi="Arial" w:cs="Arial"/>
                <w:sz w:val="21"/>
                <w:szCs w:val="21"/>
              </w:rPr>
            </w:pPr>
            <w:r>
              <w:rPr>
                <w:rFonts w:ascii="Arial" w:hAnsi="Arial" w:cs="Arial"/>
                <w:sz w:val="21"/>
                <w:szCs w:val="21"/>
              </w:rPr>
              <w:t>Servicios de Auditoría</w:t>
            </w:r>
          </w:p>
        </w:tc>
        <w:tc>
          <w:tcPr>
            <w:tcW w:w="3118" w:type="dxa"/>
            <w:vAlign w:val="center"/>
          </w:tcPr>
          <w:p w:rsidR="00383FFA" w:rsidRDefault="006E33CC" w:rsidP="00E04AEB">
            <w:pPr>
              <w:jc w:val="right"/>
              <w:rPr>
                <w:rFonts w:ascii="Arial" w:hAnsi="Arial" w:cs="Arial"/>
                <w:sz w:val="21"/>
                <w:szCs w:val="21"/>
              </w:rPr>
            </w:pPr>
            <w:r>
              <w:rPr>
                <w:rFonts w:ascii="Arial" w:hAnsi="Arial" w:cs="Arial"/>
                <w:sz w:val="21"/>
                <w:szCs w:val="21"/>
              </w:rPr>
              <w:t>20,415.72</w:t>
            </w:r>
          </w:p>
        </w:tc>
      </w:tr>
      <w:tr w:rsidR="006E33CC" w:rsidRPr="004D11EC" w:rsidTr="004D11EC">
        <w:tc>
          <w:tcPr>
            <w:tcW w:w="3112" w:type="dxa"/>
            <w:vAlign w:val="center"/>
          </w:tcPr>
          <w:p w:rsidR="006E33CC" w:rsidRDefault="006E33CC" w:rsidP="00BD3E07">
            <w:pPr>
              <w:jc w:val="left"/>
              <w:rPr>
                <w:rFonts w:ascii="Arial" w:hAnsi="Arial" w:cs="Arial"/>
                <w:sz w:val="21"/>
                <w:szCs w:val="21"/>
              </w:rPr>
            </w:pPr>
            <w:r>
              <w:rPr>
                <w:rFonts w:ascii="Arial" w:hAnsi="Arial" w:cs="Arial"/>
                <w:sz w:val="21"/>
                <w:szCs w:val="21"/>
              </w:rPr>
              <w:t xml:space="preserve">Distribuidora </w:t>
            </w:r>
            <w:proofErr w:type="spellStart"/>
            <w:r>
              <w:rPr>
                <w:rFonts w:ascii="Arial" w:hAnsi="Arial" w:cs="Arial"/>
                <w:sz w:val="21"/>
                <w:szCs w:val="21"/>
              </w:rPr>
              <w:t>Tellez</w:t>
            </w:r>
            <w:proofErr w:type="spellEnd"/>
          </w:p>
        </w:tc>
        <w:tc>
          <w:tcPr>
            <w:tcW w:w="2950" w:type="dxa"/>
            <w:vAlign w:val="center"/>
          </w:tcPr>
          <w:p w:rsidR="006E33CC" w:rsidRDefault="006E33CC" w:rsidP="00DB40CD">
            <w:pPr>
              <w:rPr>
                <w:rFonts w:ascii="Arial" w:hAnsi="Arial" w:cs="Arial"/>
                <w:sz w:val="21"/>
                <w:szCs w:val="21"/>
              </w:rPr>
            </w:pPr>
            <w:r>
              <w:rPr>
                <w:rFonts w:ascii="Arial" w:hAnsi="Arial" w:cs="Arial"/>
                <w:sz w:val="21"/>
                <w:szCs w:val="21"/>
              </w:rPr>
              <w:t>Servicio de fotocopiado</w:t>
            </w:r>
          </w:p>
        </w:tc>
        <w:tc>
          <w:tcPr>
            <w:tcW w:w="3118" w:type="dxa"/>
            <w:vAlign w:val="center"/>
          </w:tcPr>
          <w:p w:rsidR="006E33CC" w:rsidRDefault="006E33CC" w:rsidP="00E04AEB">
            <w:pPr>
              <w:jc w:val="right"/>
              <w:rPr>
                <w:rFonts w:ascii="Arial" w:hAnsi="Arial" w:cs="Arial"/>
                <w:sz w:val="21"/>
                <w:szCs w:val="21"/>
              </w:rPr>
            </w:pPr>
            <w:r>
              <w:rPr>
                <w:rFonts w:ascii="Arial" w:hAnsi="Arial" w:cs="Arial"/>
                <w:sz w:val="21"/>
                <w:szCs w:val="21"/>
              </w:rPr>
              <w:t>1,013.53</w:t>
            </w:r>
          </w:p>
        </w:tc>
      </w:tr>
      <w:tr w:rsidR="00383FFA" w:rsidRPr="004D11EC" w:rsidTr="004D11EC">
        <w:tc>
          <w:tcPr>
            <w:tcW w:w="3112" w:type="dxa"/>
            <w:vAlign w:val="center"/>
          </w:tcPr>
          <w:p w:rsidR="00383FFA" w:rsidRDefault="00383FFA" w:rsidP="008D0FD3">
            <w:pPr>
              <w:jc w:val="left"/>
              <w:rPr>
                <w:rFonts w:ascii="Arial" w:hAnsi="Arial" w:cs="Arial"/>
                <w:sz w:val="21"/>
                <w:szCs w:val="21"/>
              </w:rPr>
            </w:pPr>
            <w:proofErr w:type="spellStart"/>
            <w:r>
              <w:rPr>
                <w:rFonts w:ascii="Arial" w:hAnsi="Arial" w:cs="Arial"/>
                <w:sz w:val="21"/>
                <w:szCs w:val="21"/>
              </w:rPr>
              <w:t>Geomapa</w:t>
            </w:r>
            <w:proofErr w:type="spellEnd"/>
            <w:r>
              <w:rPr>
                <w:rFonts w:ascii="Arial" w:hAnsi="Arial" w:cs="Arial"/>
                <w:sz w:val="21"/>
                <w:szCs w:val="21"/>
              </w:rPr>
              <w:t xml:space="preserve"> S.A. de C.V.</w:t>
            </w:r>
          </w:p>
        </w:tc>
        <w:tc>
          <w:tcPr>
            <w:tcW w:w="2950" w:type="dxa"/>
            <w:vAlign w:val="center"/>
          </w:tcPr>
          <w:p w:rsidR="00383FFA" w:rsidRDefault="00383FFA" w:rsidP="00DB40CD">
            <w:pPr>
              <w:rPr>
                <w:rFonts w:ascii="Arial" w:hAnsi="Arial" w:cs="Arial"/>
                <w:sz w:val="21"/>
                <w:szCs w:val="21"/>
              </w:rPr>
            </w:pPr>
            <w:r>
              <w:rPr>
                <w:rFonts w:ascii="Arial" w:hAnsi="Arial" w:cs="Arial"/>
                <w:sz w:val="21"/>
                <w:szCs w:val="21"/>
              </w:rPr>
              <w:t>Servicio de cartografía</w:t>
            </w:r>
          </w:p>
        </w:tc>
        <w:tc>
          <w:tcPr>
            <w:tcW w:w="3118" w:type="dxa"/>
            <w:vAlign w:val="center"/>
          </w:tcPr>
          <w:p w:rsidR="00383FFA" w:rsidRDefault="00383FFA" w:rsidP="00E04AEB">
            <w:pPr>
              <w:jc w:val="right"/>
              <w:rPr>
                <w:rFonts w:ascii="Arial" w:hAnsi="Arial" w:cs="Arial"/>
                <w:sz w:val="21"/>
                <w:szCs w:val="21"/>
              </w:rPr>
            </w:pPr>
            <w:r>
              <w:rPr>
                <w:rFonts w:ascii="Arial" w:hAnsi="Arial" w:cs="Arial"/>
                <w:sz w:val="21"/>
                <w:szCs w:val="21"/>
              </w:rPr>
              <w:t>1,010,940.00</w:t>
            </w:r>
          </w:p>
        </w:tc>
      </w:tr>
      <w:tr w:rsidR="00383FFA" w:rsidRPr="004D11EC" w:rsidTr="004D11EC">
        <w:tc>
          <w:tcPr>
            <w:tcW w:w="6062" w:type="dxa"/>
            <w:gridSpan w:val="2"/>
            <w:vAlign w:val="center"/>
          </w:tcPr>
          <w:p w:rsidR="00383FFA" w:rsidRPr="00CF4D8C" w:rsidRDefault="006875F1" w:rsidP="00BD3E07">
            <w:pPr>
              <w:jc w:val="right"/>
              <w:rPr>
                <w:rFonts w:ascii="Arial" w:hAnsi="Arial" w:cs="Arial"/>
                <w:b/>
                <w:sz w:val="21"/>
                <w:szCs w:val="21"/>
              </w:rPr>
            </w:pPr>
            <w:r w:rsidRPr="00CF4D8C">
              <w:rPr>
                <w:rFonts w:ascii="Arial" w:hAnsi="Arial" w:cs="Arial"/>
                <w:b/>
                <w:sz w:val="21"/>
                <w:szCs w:val="21"/>
              </w:rPr>
              <w:t>Suma</w:t>
            </w:r>
          </w:p>
        </w:tc>
        <w:tc>
          <w:tcPr>
            <w:tcW w:w="3118" w:type="dxa"/>
            <w:vAlign w:val="center"/>
          </w:tcPr>
          <w:p w:rsidR="00383FFA" w:rsidRPr="007C67B9" w:rsidRDefault="00D50458" w:rsidP="00FE0455">
            <w:pPr>
              <w:jc w:val="right"/>
              <w:rPr>
                <w:rFonts w:ascii="Arial" w:hAnsi="Arial" w:cs="Arial"/>
                <w:b/>
                <w:sz w:val="21"/>
                <w:szCs w:val="21"/>
              </w:rPr>
            </w:pPr>
            <w:r>
              <w:rPr>
                <w:rFonts w:ascii="Arial" w:hAnsi="Arial" w:cs="Arial"/>
                <w:b/>
                <w:sz w:val="21"/>
                <w:szCs w:val="21"/>
              </w:rPr>
              <w:t>1,137,561.33</w:t>
            </w:r>
          </w:p>
        </w:tc>
      </w:tr>
    </w:tbl>
    <w:p w:rsidR="00703FC6" w:rsidRDefault="00C3186F" w:rsidP="00B40970">
      <w:pPr>
        <w:rPr>
          <w:rFonts w:ascii="Arial" w:hAnsi="Arial" w:cs="Arial"/>
          <w:sz w:val="21"/>
          <w:szCs w:val="21"/>
        </w:rPr>
      </w:pPr>
      <w:r>
        <w:rPr>
          <w:rFonts w:ascii="Arial" w:hAnsi="Arial" w:cs="Arial"/>
          <w:sz w:val="21"/>
          <w:szCs w:val="21"/>
        </w:rPr>
        <w:t xml:space="preserve">Los compromisos pactados con las empresas </w:t>
      </w:r>
      <w:proofErr w:type="spellStart"/>
      <w:r>
        <w:rPr>
          <w:rFonts w:ascii="Arial" w:hAnsi="Arial" w:cs="Arial"/>
          <w:sz w:val="21"/>
          <w:szCs w:val="21"/>
        </w:rPr>
        <w:t>Geomapa</w:t>
      </w:r>
      <w:proofErr w:type="spellEnd"/>
      <w:r>
        <w:rPr>
          <w:rFonts w:ascii="Arial" w:hAnsi="Arial" w:cs="Arial"/>
          <w:sz w:val="21"/>
          <w:szCs w:val="21"/>
        </w:rPr>
        <w:t xml:space="preserve"> S.A. de C.V., corresponden a las acciones del Programa de Modernización  y Vinculación de los Registros Públicos de la Propiedad y Catastros en su primera etapa, contratados en el ejercicio 2013.</w:t>
      </w:r>
    </w:p>
    <w:p w:rsidR="00FE0455" w:rsidRDefault="00FE0455">
      <w:pPr>
        <w:rPr>
          <w:rFonts w:ascii="Arial" w:hAnsi="Arial" w:cs="Arial"/>
          <w:sz w:val="21"/>
          <w:szCs w:val="21"/>
        </w:rPr>
      </w:pPr>
      <w:r>
        <w:rPr>
          <w:rFonts w:ascii="Arial" w:hAnsi="Arial" w:cs="Arial"/>
          <w:sz w:val="21"/>
          <w:szCs w:val="21"/>
        </w:rPr>
        <w:br w:type="page"/>
      </w:r>
    </w:p>
    <w:p w:rsidR="00B40970" w:rsidRPr="00B31772" w:rsidRDefault="00C3186F" w:rsidP="00B31772">
      <w:pPr>
        <w:pStyle w:val="Prrafodelista"/>
        <w:numPr>
          <w:ilvl w:val="0"/>
          <w:numId w:val="5"/>
        </w:numPr>
        <w:rPr>
          <w:rFonts w:ascii="Arial" w:hAnsi="Arial" w:cs="Arial"/>
          <w:sz w:val="21"/>
          <w:szCs w:val="21"/>
        </w:rPr>
      </w:pPr>
      <w:r w:rsidRPr="00B31772">
        <w:rPr>
          <w:rFonts w:ascii="Arial" w:hAnsi="Arial" w:cs="Arial"/>
          <w:sz w:val="21"/>
          <w:szCs w:val="21"/>
        </w:rPr>
        <w:lastRenderedPageBreak/>
        <w:t>Retenciones y Contribuciones por Pagar a Corto Plazo</w:t>
      </w:r>
      <w:r w:rsidRPr="00B31772">
        <w:rPr>
          <w:rFonts w:ascii="Arial" w:hAnsi="Arial" w:cs="Arial"/>
          <w:sz w:val="21"/>
          <w:szCs w:val="21"/>
        </w:rPr>
        <w:tab/>
        <w:t xml:space="preserve">$ </w:t>
      </w:r>
      <w:r w:rsidR="00D50458">
        <w:rPr>
          <w:rFonts w:ascii="Arial" w:hAnsi="Arial" w:cs="Arial"/>
          <w:sz w:val="21"/>
          <w:szCs w:val="21"/>
        </w:rPr>
        <w:t>684,136.93</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D50458">
            <w:pPr>
              <w:rPr>
                <w:rFonts w:ascii="Arial" w:hAnsi="Arial" w:cs="Arial"/>
                <w:sz w:val="21"/>
                <w:szCs w:val="21"/>
              </w:rPr>
            </w:pPr>
            <w:r>
              <w:rPr>
                <w:rFonts w:ascii="Arial" w:hAnsi="Arial" w:cs="Arial"/>
                <w:sz w:val="21"/>
                <w:szCs w:val="21"/>
              </w:rPr>
              <w:t xml:space="preserve">Retenciones de </w:t>
            </w:r>
            <w:r w:rsidR="00D50458">
              <w:rPr>
                <w:rFonts w:ascii="Arial" w:hAnsi="Arial" w:cs="Arial"/>
                <w:sz w:val="21"/>
                <w:szCs w:val="21"/>
              </w:rPr>
              <w:t>marzo</w:t>
            </w:r>
            <w:r w:rsidR="00FE0455">
              <w:rPr>
                <w:rFonts w:ascii="Arial" w:hAnsi="Arial" w:cs="Arial"/>
                <w:sz w:val="21"/>
                <w:szCs w:val="21"/>
              </w:rPr>
              <w:t xml:space="preserve"> 2</w:t>
            </w:r>
            <w:r>
              <w:rPr>
                <w:rFonts w:ascii="Arial" w:hAnsi="Arial" w:cs="Arial"/>
                <w:sz w:val="21"/>
                <w:szCs w:val="21"/>
              </w:rPr>
              <w:t>01</w:t>
            </w:r>
            <w:r w:rsidR="006B01F3">
              <w:rPr>
                <w:rFonts w:ascii="Arial" w:hAnsi="Arial" w:cs="Arial"/>
                <w:sz w:val="21"/>
                <w:szCs w:val="21"/>
              </w:rPr>
              <w:t>5</w:t>
            </w:r>
          </w:p>
        </w:tc>
        <w:tc>
          <w:tcPr>
            <w:tcW w:w="2976" w:type="dxa"/>
            <w:vAlign w:val="center"/>
          </w:tcPr>
          <w:p w:rsidR="00C3186F" w:rsidRPr="004D11EC" w:rsidRDefault="00D50458" w:rsidP="008653E1">
            <w:pPr>
              <w:jc w:val="right"/>
              <w:rPr>
                <w:rFonts w:ascii="Arial" w:hAnsi="Arial" w:cs="Arial"/>
                <w:sz w:val="21"/>
                <w:szCs w:val="21"/>
              </w:rPr>
            </w:pPr>
            <w:r>
              <w:rPr>
                <w:rFonts w:ascii="Arial" w:hAnsi="Arial" w:cs="Arial"/>
                <w:sz w:val="21"/>
                <w:szCs w:val="21"/>
              </w:rPr>
              <w:t>428,300.33</w:t>
            </w:r>
          </w:p>
        </w:tc>
      </w:tr>
      <w:tr w:rsidR="00205AB6" w:rsidRPr="004D11EC" w:rsidTr="00FE0455">
        <w:tc>
          <w:tcPr>
            <w:tcW w:w="3112" w:type="dxa"/>
            <w:vAlign w:val="center"/>
          </w:tcPr>
          <w:p w:rsidR="00205AB6" w:rsidRDefault="00205AB6" w:rsidP="00BD3E07">
            <w:pPr>
              <w:jc w:val="left"/>
              <w:rPr>
                <w:rFonts w:ascii="Arial" w:hAnsi="Arial" w:cs="Arial"/>
                <w:sz w:val="21"/>
                <w:szCs w:val="21"/>
              </w:rPr>
            </w:pPr>
            <w:r>
              <w:rPr>
                <w:rFonts w:ascii="Arial" w:hAnsi="Arial" w:cs="Arial"/>
                <w:sz w:val="21"/>
                <w:szCs w:val="21"/>
              </w:rPr>
              <w:t>I.S.R. Asimilados al Salario</w:t>
            </w:r>
          </w:p>
        </w:tc>
        <w:tc>
          <w:tcPr>
            <w:tcW w:w="3092" w:type="dxa"/>
            <w:vAlign w:val="center"/>
          </w:tcPr>
          <w:p w:rsidR="00FE0455" w:rsidRDefault="00FE0455" w:rsidP="008653E1">
            <w:pPr>
              <w:ind w:right="-509"/>
              <w:rPr>
                <w:rFonts w:ascii="Arial" w:hAnsi="Arial" w:cs="Arial"/>
                <w:sz w:val="21"/>
                <w:szCs w:val="21"/>
              </w:rPr>
            </w:pPr>
            <w:r>
              <w:rPr>
                <w:rFonts w:ascii="Arial" w:hAnsi="Arial" w:cs="Arial"/>
                <w:sz w:val="21"/>
                <w:szCs w:val="21"/>
              </w:rPr>
              <w:t xml:space="preserve">Retenciones de </w:t>
            </w:r>
            <w:r w:rsidR="00D50458">
              <w:rPr>
                <w:rFonts w:ascii="Arial" w:hAnsi="Arial" w:cs="Arial"/>
                <w:sz w:val="21"/>
                <w:szCs w:val="21"/>
              </w:rPr>
              <w:t>marzo</w:t>
            </w:r>
            <w:r>
              <w:rPr>
                <w:rFonts w:ascii="Arial" w:hAnsi="Arial" w:cs="Arial"/>
                <w:sz w:val="21"/>
                <w:szCs w:val="21"/>
              </w:rPr>
              <w:t xml:space="preserve"> 201</w:t>
            </w:r>
            <w:r w:rsidR="006B01F3">
              <w:rPr>
                <w:rFonts w:ascii="Arial" w:hAnsi="Arial" w:cs="Arial"/>
                <w:sz w:val="21"/>
                <w:szCs w:val="21"/>
              </w:rPr>
              <w:t>5</w:t>
            </w:r>
          </w:p>
        </w:tc>
        <w:tc>
          <w:tcPr>
            <w:tcW w:w="2976" w:type="dxa"/>
            <w:vAlign w:val="center"/>
          </w:tcPr>
          <w:p w:rsidR="00205AB6" w:rsidRDefault="006B01F3" w:rsidP="006B01F3">
            <w:pPr>
              <w:jc w:val="right"/>
              <w:rPr>
                <w:rFonts w:ascii="Arial" w:hAnsi="Arial" w:cs="Arial"/>
                <w:sz w:val="21"/>
                <w:szCs w:val="21"/>
              </w:rPr>
            </w:pPr>
            <w:r>
              <w:rPr>
                <w:rFonts w:ascii="Arial" w:hAnsi="Arial" w:cs="Arial"/>
                <w:sz w:val="21"/>
                <w:szCs w:val="21"/>
              </w:rPr>
              <w:t>-0</w:t>
            </w:r>
            <w:r w:rsidR="00FE0455">
              <w:rPr>
                <w:rFonts w:ascii="Arial" w:hAnsi="Arial" w:cs="Arial"/>
                <w:sz w:val="21"/>
                <w:szCs w:val="21"/>
              </w:rPr>
              <w:t>.</w:t>
            </w:r>
            <w:r>
              <w:rPr>
                <w:rFonts w:ascii="Arial" w:hAnsi="Arial" w:cs="Arial"/>
                <w:sz w:val="21"/>
                <w:szCs w:val="21"/>
              </w:rPr>
              <w:t>06</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IVA por Pagar</w:t>
            </w:r>
          </w:p>
        </w:tc>
        <w:tc>
          <w:tcPr>
            <w:tcW w:w="3092" w:type="dxa"/>
            <w:vAlign w:val="center"/>
          </w:tcPr>
          <w:p w:rsidR="00C3186F" w:rsidRPr="004D11EC" w:rsidRDefault="00FF2CB4" w:rsidP="008653E1">
            <w:pPr>
              <w:ind w:right="-509"/>
              <w:rPr>
                <w:rFonts w:ascii="Arial" w:hAnsi="Arial" w:cs="Arial"/>
                <w:sz w:val="21"/>
                <w:szCs w:val="21"/>
              </w:rPr>
            </w:pPr>
            <w:r>
              <w:rPr>
                <w:rFonts w:ascii="Arial" w:hAnsi="Arial" w:cs="Arial"/>
                <w:sz w:val="21"/>
                <w:szCs w:val="21"/>
              </w:rPr>
              <w:t xml:space="preserve">Impuesto de </w:t>
            </w:r>
            <w:r w:rsidR="00D50458">
              <w:rPr>
                <w:rFonts w:ascii="Arial" w:hAnsi="Arial" w:cs="Arial"/>
                <w:sz w:val="21"/>
                <w:szCs w:val="21"/>
              </w:rPr>
              <w:t>marzo</w:t>
            </w:r>
            <w:r w:rsidR="00D353DA">
              <w:rPr>
                <w:rFonts w:ascii="Arial" w:hAnsi="Arial" w:cs="Arial"/>
                <w:sz w:val="21"/>
                <w:szCs w:val="21"/>
              </w:rPr>
              <w:t xml:space="preserve"> </w:t>
            </w:r>
            <w:r w:rsidR="006B01F3">
              <w:rPr>
                <w:rFonts w:ascii="Arial" w:hAnsi="Arial" w:cs="Arial"/>
                <w:sz w:val="21"/>
                <w:szCs w:val="21"/>
              </w:rPr>
              <w:t>2015</w:t>
            </w:r>
          </w:p>
        </w:tc>
        <w:tc>
          <w:tcPr>
            <w:tcW w:w="2976" w:type="dxa"/>
            <w:vAlign w:val="center"/>
          </w:tcPr>
          <w:p w:rsidR="00C3186F" w:rsidRPr="004D11EC" w:rsidRDefault="00D50458" w:rsidP="00D50458">
            <w:pPr>
              <w:jc w:val="right"/>
              <w:rPr>
                <w:rFonts w:ascii="Arial" w:hAnsi="Arial" w:cs="Arial"/>
                <w:sz w:val="21"/>
                <w:szCs w:val="21"/>
              </w:rPr>
            </w:pPr>
            <w:r>
              <w:rPr>
                <w:rFonts w:ascii="Arial" w:hAnsi="Arial" w:cs="Arial"/>
                <w:sz w:val="21"/>
                <w:szCs w:val="21"/>
              </w:rPr>
              <w:t>81,167.86</w:t>
            </w:r>
          </w:p>
        </w:tc>
      </w:tr>
      <w:tr w:rsidR="003A7EBA" w:rsidRPr="004D11EC" w:rsidTr="00FE0455">
        <w:tc>
          <w:tcPr>
            <w:tcW w:w="3112" w:type="dxa"/>
            <w:vAlign w:val="center"/>
          </w:tcPr>
          <w:p w:rsidR="003A7EBA" w:rsidRDefault="003A7EBA" w:rsidP="00BD3E07">
            <w:pPr>
              <w:jc w:val="left"/>
              <w:rPr>
                <w:rFonts w:ascii="Arial" w:hAnsi="Arial" w:cs="Arial"/>
                <w:sz w:val="21"/>
                <w:szCs w:val="21"/>
              </w:rPr>
            </w:pPr>
            <w:r>
              <w:rPr>
                <w:rFonts w:ascii="Arial" w:hAnsi="Arial" w:cs="Arial"/>
                <w:sz w:val="21"/>
                <w:szCs w:val="21"/>
              </w:rPr>
              <w:t>IVA Trasladado</w:t>
            </w:r>
          </w:p>
        </w:tc>
        <w:tc>
          <w:tcPr>
            <w:tcW w:w="3092" w:type="dxa"/>
            <w:vAlign w:val="center"/>
          </w:tcPr>
          <w:p w:rsidR="003A7EBA" w:rsidRDefault="003A7EBA" w:rsidP="00D93F31">
            <w:pPr>
              <w:rPr>
                <w:rFonts w:ascii="Arial" w:hAnsi="Arial" w:cs="Arial"/>
                <w:sz w:val="21"/>
                <w:szCs w:val="21"/>
              </w:rPr>
            </w:pPr>
            <w:r>
              <w:rPr>
                <w:rFonts w:ascii="Arial" w:hAnsi="Arial" w:cs="Arial"/>
                <w:sz w:val="21"/>
                <w:szCs w:val="21"/>
              </w:rPr>
              <w:t>Facturas pendientes de pago</w:t>
            </w:r>
          </w:p>
        </w:tc>
        <w:tc>
          <w:tcPr>
            <w:tcW w:w="2976" w:type="dxa"/>
            <w:vAlign w:val="center"/>
          </w:tcPr>
          <w:p w:rsidR="003A7EBA" w:rsidRDefault="00D50458" w:rsidP="00D50458">
            <w:pPr>
              <w:jc w:val="right"/>
              <w:rPr>
                <w:rFonts w:ascii="Arial" w:hAnsi="Arial" w:cs="Arial"/>
                <w:sz w:val="21"/>
                <w:szCs w:val="21"/>
              </w:rPr>
            </w:pPr>
            <w:r>
              <w:rPr>
                <w:rFonts w:ascii="Arial" w:hAnsi="Arial" w:cs="Arial"/>
                <w:sz w:val="21"/>
                <w:szCs w:val="21"/>
              </w:rPr>
              <w:t>16,616.85</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8653E1">
            <w:pPr>
              <w:rPr>
                <w:rFonts w:ascii="Arial" w:hAnsi="Arial" w:cs="Arial"/>
                <w:sz w:val="21"/>
                <w:szCs w:val="21"/>
              </w:rPr>
            </w:pPr>
            <w:r>
              <w:rPr>
                <w:rFonts w:ascii="Arial" w:hAnsi="Arial" w:cs="Arial"/>
                <w:sz w:val="21"/>
                <w:szCs w:val="21"/>
              </w:rPr>
              <w:t>Retenciones de</w:t>
            </w:r>
            <w:r w:rsidR="006B01F3">
              <w:rPr>
                <w:rFonts w:ascii="Arial" w:hAnsi="Arial" w:cs="Arial"/>
                <w:sz w:val="21"/>
                <w:szCs w:val="21"/>
              </w:rPr>
              <w:t xml:space="preserve"> </w:t>
            </w:r>
            <w:r w:rsidR="00D50458">
              <w:rPr>
                <w:rFonts w:ascii="Arial" w:hAnsi="Arial" w:cs="Arial"/>
                <w:sz w:val="21"/>
                <w:szCs w:val="21"/>
              </w:rPr>
              <w:t xml:space="preserve">marzo </w:t>
            </w:r>
            <w:r>
              <w:rPr>
                <w:rFonts w:ascii="Arial" w:hAnsi="Arial" w:cs="Arial"/>
                <w:sz w:val="21"/>
                <w:szCs w:val="21"/>
              </w:rPr>
              <w:t>01</w:t>
            </w:r>
            <w:r w:rsidR="006B01F3">
              <w:rPr>
                <w:rFonts w:ascii="Arial" w:hAnsi="Arial" w:cs="Arial"/>
                <w:sz w:val="21"/>
                <w:szCs w:val="21"/>
              </w:rPr>
              <w:t>5</w:t>
            </w:r>
          </w:p>
        </w:tc>
        <w:tc>
          <w:tcPr>
            <w:tcW w:w="2976" w:type="dxa"/>
            <w:vAlign w:val="center"/>
          </w:tcPr>
          <w:p w:rsidR="00C3186F" w:rsidRPr="004D11EC" w:rsidRDefault="008653E1" w:rsidP="00D50458">
            <w:pPr>
              <w:jc w:val="right"/>
              <w:rPr>
                <w:rFonts w:ascii="Arial" w:hAnsi="Arial" w:cs="Arial"/>
                <w:sz w:val="21"/>
                <w:szCs w:val="21"/>
              </w:rPr>
            </w:pPr>
            <w:r>
              <w:rPr>
                <w:rFonts w:ascii="Arial" w:hAnsi="Arial" w:cs="Arial"/>
                <w:sz w:val="21"/>
                <w:szCs w:val="21"/>
              </w:rPr>
              <w:t>8,</w:t>
            </w:r>
            <w:r w:rsidR="00D50458">
              <w:rPr>
                <w:rFonts w:ascii="Arial" w:hAnsi="Arial" w:cs="Arial"/>
                <w:sz w:val="21"/>
                <w:szCs w:val="21"/>
              </w:rPr>
              <w:t>606.61</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proofErr w:type="spellStart"/>
            <w:r>
              <w:rPr>
                <w:rFonts w:ascii="Arial" w:hAnsi="Arial" w:cs="Arial"/>
                <w:sz w:val="21"/>
                <w:szCs w:val="21"/>
              </w:rPr>
              <w:t>Infonacot</w:t>
            </w:r>
            <w:proofErr w:type="spellEnd"/>
          </w:p>
        </w:tc>
        <w:tc>
          <w:tcPr>
            <w:tcW w:w="3092" w:type="dxa"/>
            <w:vAlign w:val="center"/>
          </w:tcPr>
          <w:p w:rsidR="00C3186F" w:rsidRPr="004D11EC" w:rsidRDefault="00FF2CB4" w:rsidP="008653E1">
            <w:pPr>
              <w:rPr>
                <w:rFonts w:ascii="Arial" w:hAnsi="Arial" w:cs="Arial"/>
                <w:sz w:val="21"/>
                <w:szCs w:val="21"/>
              </w:rPr>
            </w:pPr>
            <w:r>
              <w:rPr>
                <w:rFonts w:ascii="Arial" w:hAnsi="Arial" w:cs="Arial"/>
                <w:sz w:val="21"/>
                <w:szCs w:val="21"/>
              </w:rPr>
              <w:t xml:space="preserve">Créditos </w:t>
            </w:r>
            <w:r w:rsidR="00D50458">
              <w:rPr>
                <w:rFonts w:ascii="Arial" w:hAnsi="Arial" w:cs="Arial"/>
                <w:sz w:val="21"/>
                <w:szCs w:val="21"/>
              </w:rPr>
              <w:t>marzo</w:t>
            </w:r>
            <w:r w:rsidR="008653E1">
              <w:rPr>
                <w:rFonts w:ascii="Arial" w:hAnsi="Arial" w:cs="Arial"/>
                <w:sz w:val="21"/>
                <w:szCs w:val="21"/>
              </w:rPr>
              <w:t xml:space="preserve"> </w:t>
            </w:r>
            <w:r>
              <w:rPr>
                <w:rFonts w:ascii="Arial" w:hAnsi="Arial" w:cs="Arial"/>
                <w:sz w:val="21"/>
                <w:szCs w:val="21"/>
              </w:rPr>
              <w:t>201</w:t>
            </w:r>
            <w:r w:rsidR="008653E1">
              <w:rPr>
                <w:rFonts w:ascii="Arial" w:hAnsi="Arial" w:cs="Arial"/>
                <w:sz w:val="21"/>
                <w:szCs w:val="21"/>
              </w:rPr>
              <w:t>5</w:t>
            </w:r>
          </w:p>
        </w:tc>
        <w:tc>
          <w:tcPr>
            <w:tcW w:w="2976" w:type="dxa"/>
            <w:vAlign w:val="center"/>
          </w:tcPr>
          <w:p w:rsidR="00C3186F" w:rsidRPr="004D11EC" w:rsidRDefault="00D50458" w:rsidP="00D50458">
            <w:pPr>
              <w:jc w:val="right"/>
              <w:rPr>
                <w:rFonts w:ascii="Arial" w:hAnsi="Arial" w:cs="Arial"/>
                <w:sz w:val="21"/>
                <w:szCs w:val="21"/>
              </w:rPr>
            </w:pPr>
            <w:r>
              <w:rPr>
                <w:rFonts w:ascii="Arial" w:hAnsi="Arial" w:cs="Arial"/>
                <w:sz w:val="21"/>
                <w:szCs w:val="21"/>
              </w:rPr>
              <w:t>59,571.95</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proofErr w:type="spellStart"/>
            <w:r>
              <w:rPr>
                <w:rFonts w:ascii="Arial" w:hAnsi="Arial" w:cs="Arial"/>
                <w:sz w:val="21"/>
                <w:szCs w:val="21"/>
              </w:rPr>
              <w:t>Suteym</w:t>
            </w:r>
            <w:proofErr w:type="spellEnd"/>
          </w:p>
        </w:tc>
        <w:tc>
          <w:tcPr>
            <w:tcW w:w="3092" w:type="dxa"/>
            <w:vAlign w:val="center"/>
          </w:tcPr>
          <w:p w:rsidR="00C3186F" w:rsidRPr="004D11EC" w:rsidRDefault="003A7EBA" w:rsidP="008653E1">
            <w:pPr>
              <w:rPr>
                <w:rFonts w:ascii="Arial" w:hAnsi="Arial" w:cs="Arial"/>
                <w:sz w:val="21"/>
                <w:szCs w:val="21"/>
              </w:rPr>
            </w:pPr>
            <w:r>
              <w:rPr>
                <w:rFonts w:ascii="Arial" w:hAnsi="Arial" w:cs="Arial"/>
                <w:sz w:val="21"/>
                <w:szCs w:val="21"/>
              </w:rPr>
              <w:t xml:space="preserve">Cuotas de </w:t>
            </w:r>
            <w:r w:rsidR="00D50458">
              <w:rPr>
                <w:rFonts w:ascii="Arial" w:hAnsi="Arial" w:cs="Arial"/>
                <w:sz w:val="21"/>
                <w:szCs w:val="21"/>
              </w:rPr>
              <w:t xml:space="preserve">marzo </w:t>
            </w:r>
            <w:r w:rsidR="008653E1">
              <w:rPr>
                <w:rFonts w:ascii="Arial" w:hAnsi="Arial" w:cs="Arial"/>
                <w:sz w:val="21"/>
                <w:szCs w:val="21"/>
              </w:rPr>
              <w:t>2015</w:t>
            </w:r>
          </w:p>
        </w:tc>
        <w:tc>
          <w:tcPr>
            <w:tcW w:w="2976" w:type="dxa"/>
            <w:vAlign w:val="center"/>
          </w:tcPr>
          <w:p w:rsidR="00C3186F" w:rsidRPr="004D11EC" w:rsidRDefault="008653E1" w:rsidP="008653E1">
            <w:pPr>
              <w:jc w:val="right"/>
              <w:rPr>
                <w:rFonts w:ascii="Arial" w:hAnsi="Arial" w:cs="Arial"/>
                <w:sz w:val="21"/>
                <w:szCs w:val="21"/>
              </w:rPr>
            </w:pPr>
            <w:r>
              <w:rPr>
                <w:rFonts w:ascii="Arial" w:hAnsi="Arial" w:cs="Arial"/>
                <w:sz w:val="21"/>
                <w:szCs w:val="21"/>
              </w:rPr>
              <w:t>17,131.48</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F2CB4" w:rsidP="008653E1">
            <w:pPr>
              <w:rPr>
                <w:rFonts w:ascii="Arial" w:hAnsi="Arial" w:cs="Arial"/>
                <w:sz w:val="21"/>
                <w:szCs w:val="21"/>
              </w:rPr>
            </w:pPr>
            <w:r>
              <w:rPr>
                <w:rFonts w:ascii="Arial" w:hAnsi="Arial" w:cs="Arial"/>
                <w:sz w:val="21"/>
                <w:szCs w:val="21"/>
              </w:rPr>
              <w:t xml:space="preserve">Primas de </w:t>
            </w:r>
            <w:r w:rsidR="00D50458">
              <w:rPr>
                <w:rFonts w:ascii="Arial" w:hAnsi="Arial" w:cs="Arial"/>
                <w:sz w:val="21"/>
                <w:szCs w:val="21"/>
              </w:rPr>
              <w:t xml:space="preserve">marzo </w:t>
            </w:r>
            <w:r>
              <w:rPr>
                <w:rFonts w:ascii="Arial" w:hAnsi="Arial" w:cs="Arial"/>
                <w:sz w:val="21"/>
                <w:szCs w:val="21"/>
              </w:rPr>
              <w:t>2014</w:t>
            </w:r>
          </w:p>
        </w:tc>
        <w:tc>
          <w:tcPr>
            <w:tcW w:w="2976" w:type="dxa"/>
            <w:vAlign w:val="center"/>
          </w:tcPr>
          <w:p w:rsidR="00C3186F" w:rsidRPr="004D11EC" w:rsidRDefault="00D353DA" w:rsidP="001B49DD">
            <w:pPr>
              <w:jc w:val="right"/>
              <w:rPr>
                <w:rFonts w:ascii="Arial" w:hAnsi="Arial" w:cs="Arial"/>
                <w:sz w:val="21"/>
                <w:szCs w:val="21"/>
              </w:rPr>
            </w:pPr>
            <w:r>
              <w:rPr>
                <w:rFonts w:ascii="Arial" w:hAnsi="Arial" w:cs="Arial"/>
                <w:sz w:val="21"/>
                <w:szCs w:val="21"/>
              </w:rPr>
              <w:t>5,</w:t>
            </w:r>
            <w:r w:rsidR="001B49DD">
              <w:rPr>
                <w:rFonts w:ascii="Arial" w:hAnsi="Arial" w:cs="Arial"/>
                <w:sz w:val="21"/>
                <w:szCs w:val="21"/>
              </w:rPr>
              <w:t>129.94</w:t>
            </w:r>
          </w:p>
        </w:tc>
      </w:tr>
      <w:tr w:rsidR="00C3186F" w:rsidRPr="00C3186F" w:rsidTr="00FE0455">
        <w:tc>
          <w:tcPr>
            <w:tcW w:w="3112" w:type="dxa"/>
            <w:vAlign w:val="center"/>
          </w:tcPr>
          <w:p w:rsidR="00C3186F" w:rsidRPr="00FF2CB4" w:rsidRDefault="00550A1A" w:rsidP="008653E1">
            <w:pPr>
              <w:jc w:val="left"/>
              <w:rPr>
                <w:rFonts w:ascii="Arial" w:hAnsi="Arial" w:cs="Arial"/>
                <w:sz w:val="21"/>
                <w:szCs w:val="21"/>
              </w:rPr>
            </w:pPr>
            <w:r>
              <w:rPr>
                <w:rFonts w:ascii="Arial" w:hAnsi="Arial" w:cs="Arial"/>
                <w:sz w:val="21"/>
                <w:szCs w:val="21"/>
              </w:rPr>
              <w:t>H</w:t>
            </w:r>
            <w:r w:rsidR="008653E1">
              <w:rPr>
                <w:rFonts w:ascii="Arial" w:hAnsi="Arial" w:cs="Arial"/>
                <w:sz w:val="21"/>
                <w:szCs w:val="21"/>
              </w:rPr>
              <w:t>IR</w:t>
            </w:r>
            <w:r>
              <w:rPr>
                <w:rFonts w:ascii="Arial" w:hAnsi="Arial" w:cs="Arial"/>
                <w:sz w:val="21"/>
                <w:szCs w:val="21"/>
              </w:rPr>
              <w:t xml:space="preserve"> Compañía de Seguros</w:t>
            </w:r>
          </w:p>
        </w:tc>
        <w:tc>
          <w:tcPr>
            <w:tcW w:w="3092" w:type="dxa"/>
            <w:vAlign w:val="center"/>
          </w:tcPr>
          <w:p w:rsidR="00C3186F" w:rsidRPr="00C3186F" w:rsidRDefault="00B31772" w:rsidP="008653E1">
            <w:pPr>
              <w:jc w:val="left"/>
              <w:rPr>
                <w:rFonts w:ascii="Arial" w:hAnsi="Arial" w:cs="Arial"/>
                <w:sz w:val="21"/>
                <w:szCs w:val="21"/>
              </w:rPr>
            </w:pPr>
            <w:r>
              <w:rPr>
                <w:rFonts w:ascii="Arial" w:hAnsi="Arial" w:cs="Arial"/>
                <w:sz w:val="21"/>
                <w:szCs w:val="21"/>
              </w:rPr>
              <w:t>Aportaciones de</w:t>
            </w:r>
            <w:r w:rsidR="00550A1A">
              <w:rPr>
                <w:rFonts w:ascii="Arial" w:hAnsi="Arial" w:cs="Arial"/>
                <w:sz w:val="21"/>
                <w:szCs w:val="21"/>
              </w:rPr>
              <w:t xml:space="preserve"> </w:t>
            </w:r>
            <w:r w:rsidR="00D50458">
              <w:rPr>
                <w:rFonts w:ascii="Arial" w:hAnsi="Arial" w:cs="Arial"/>
                <w:sz w:val="21"/>
                <w:szCs w:val="21"/>
              </w:rPr>
              <w:t>marzo</w:t>
            </w:r>
            <w:r w:rsidR="008653E1">
              <w:rPr>
                <w:rFonts w:ascii="Arial" w:hAnsi="Arial" w:cs="Arial"/>
                <w:sz w:val="21"/>
                <w:szCs w:val="21"/>
              </w:rPr>
              <w:t xml:space="preserve"> 2015</w:t>
            </w:r>
          </w:p>
        </w:tc>
        <w:tc>
          <w:tcPr>
            <w:tcW w:w="2976" w:type="dxa"/>
            <w:vAlign w:val="center"/>
          </w:tcPr>
          <w:p w:rsidR="00C3186F" w:rsidRPr="00C3186F" w:rsidRDefault="00D50458" w:rsidP="006B01F3">
            <w:pPr>
              <w:jc w:val="right"/>
              <w:rPr>
                <w:rFonts w:ascii="Arial" w:hAnsi="Arial" w:cs="Arial"/>
                <w:sz w:val="21"/>
                <w:szCs w:val="21"/>
              </w:rPr>
            </w:pPr>
            <w:r>
              <w:rPr>
                <w:rFonts w:ascii="Arial" w:hAnsi="Arial" w:cs="Arial"/>
                <w:sz w:val="21"/>
                <w:szCs w:val="21"/>
              </w:rPr>
              <w:t>49,856.81</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BD3E07">
            <w:pPr>
              <w:jc w:val="left"/>
              <w:rPr>
                <w:rFonts w:ascii="Arial" w:hAnsi="Arial" w:cs="Arial"/>
                <w:sz w:val="21"/>
                <w:szCs w:val="21"/>
              </w:rPr>
            </w:pPr>
            <w:r>
              <w:rPr>
                <w:rFonts w:ascii="Arial" w:hAnsi="Arial" w:cs="Arial"/>
                <w:sz w:val="21"/>
                <w:szCs w:val="21"/>
              </w:rPr>
              <w:t xml:space="preserve">Electrodomésticos </w:t>
            </w:r>
            <w:proofErr w:type="spellStart"/>
            <w:r>
              <w:rPr>
                <w:rFonts w:ascii="Arial" w:hAnsi="Arial" w:cs="Arial"/>
                <w:sz w:val="21"/>
                <w:szCs w:val="21"/>
              </w:rPr>
              <w:t>Suteym</w:t>
            </w:r>
            <w:proofErr w:type="spellEnd"/>
          </w:p>
        </w:tc>
        <w:tc>
          <w:tcPr>
            <w:tcW w:w="3092" w:type="dxa"/>
            <w:tcBorders>
              <w:top w:val="nil"/>
              <w:left w:val="nil"/>
              <w:bottom w:val="nil"/>
              <w:right w:val="nil"/>
            </w:tcBorders>
          </w:tcPr>
          <w:p w:rsidR="00B31772" w:rsidRPr="004D11EC" w:rsidRDefault="00B31772" w:rsidP="008653E1">
            <w:pPr>
              <w:rPr>
                <w:rFonts w:ascii="Arial" w:hAnsi="Arial" w:cs="Arial"/>
                <w:sz w:val="21"/>
                <w:szCs w:val="21"/>
              </w:rPr>
            </w:pPr>
            <w:r>
              <w:rPr>
                <w:rFonts w:ascii="Arial" w:hAnsi="Arial" w:cs="Arial"/>
                <w:sz w:val="21"/>
                <w:szCs w:val="21"/>
              </w:rPr>
              <w:t xml:space="preserve">Créditos </w:t>
            </w:r>
            <w:r w:rsidR="00D50458">
              <w:rPr>
                <w:rFonts w:ascii="Arial" w:hAnsi="Arial" w:cs="Arial"/>
                <w:sz w:val="21"/>
                <w:szCs w:val="21"/>
              </w:rPr>
              <w:t>marzo</w:t>
            </w:r>
            <w:r w:rsidR="008653E1">
              <w:rPr>
                <w:rFonts w:ascii="Arial" w:hAnsi="Arial" w:cs="Arial"/>
                <w:sz w:val="21"/>
                <w:szCs w:val="21"/>
              </w:rPr>
              <w:t xml:space="preserve"> 2015</w:t>
            </w:r>
          </w:p>
        </w:tc>
        <w:tc>
          <w:tcPr>
            <w:tcW w:w="2976" w:type="dxa"/>
            <w:tcBorders>
              <w:top w:val="nil"/>
              <w:left w:val="nil"/>
              <w:bottom w:val="nil"/>
              <w:right w:val="nil"/>
            </w:tcBorders>
          </w:tcPr>
          <w:p w:rsidR="00B31772" w:rsidRPr="004D11EC" w:rsidRDefault="00D50458" w:rsidP="00D50458">
            <w:pPr>
              <w:jc w:val="right"/>
              <w:rPr>
                <w:rFonts w:ascii="Arial" w:hAnsi="Arial" w:cs="Arial"/>
                <w:sz w:val="21"/>
                <w:szCs w:val="21"/>
              </w:rPr>
            </w:pPr>
            <w:r>
              <w:rPr>
                <w:rFonts w:ascii="Arial" w:hAnsi="Arial" w:cs="Arial"/>
                <w:sz w:val="21"/>
                <w:szCs w:val="21"/>
              </w:rPr>
              <w:t>7,933.24</w:t>
            </w:r>
          </w:p>
        </w:tc>
      </w:tr>
      <w:tr w:rsidR="006B01F3"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6B01F3" w:rsidRDefault="006B01F3" w:rsidP="00A13580">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6B01F3" w:rsidRDefault="006B01F3" w:rsidP="00D50458">
            <w:pPr>
              <w:rPr>
                <w:rFonts w:ascii="Arial" w:hAnsi="Arial" w:cs="Arial"/>
                <w:sz w:val="21"/>
                <w:szCs w:val="21"/>
              </w:rPr>
            </w:pPr>
            <w:r>
              <w:rPr>
                <w:rFonts w:ascii="Arial" w:hAnsi="Arial" w:cs="Arial"/>
                <w:sz w:val="21"/>
                <w:szCs w:val="21"/>
              </w:rPr>
              <w:t xml:space="preserve">Aportaciones de </w:t>
            </w:r>
            <w:r w:rsidR="00D50458">
              <w:rPr>
                <w:rFonts w:ascii="Arial" w:hAnsi="Arial" w:cs="Arial"/>
                <w:sz w:val="21"/>
                <w:szCs w:val="21"/>
              </w:rPr>
              <w:t>marzo</w:t>
            </w:r>
            <w:r w:rsidR="008653E1">
              <w:rPr>
                <w:rFonts w:ascii="Arial" w:hAnsi="Arial" w:cs="Arial"/>
                <w:sz w:val="21"/>
                <w:szCs w:val="21"/>
              </w:rPr>
              <w:t xml:space="preserve"> 2015</w:t>
            </w:r>
          </w:p>
        </w:tc>
        <w:tc>
          <w:tcPr>
            <w:tcW w:w="2976" w:type="dxa"/>
            <w:tcBorders>
              <w:top w:val="nil"/>
              <w:left w:val="nil"/>
              <w:bottom w:val="nil"/>
              <w:right w:val="nil"/>
            </w:tcBorders>
          </w:tcPr>
          <w:p w:rsidR="006B01F3" w:rsidRDefault="00523ABB" w:rsidP="00D353DA">
            <w:pPr>
              <w:jc w:val="right"/>
              <w:rPr>
                <w:rFonts w:ascii="Arial" w:hAnsi="Arial" w:cs="Arial"/>
                <w:sz w:val="21"/>
                <w:szCs w:val="21"/>
              </w:rPr>
            </w:pPr>
            <w:r>
              <w:rPr>
                <w:rFonts w:ascii="Arial" w:hAnsi="Arial" w:cs="Arial"/>
                <w:sz w:val="21"/>
                <w:szCs w:val="21"/>
              </w:rPr>
              <w:t>1,322.00</w:t>
            </w:r>
          </w:p>
        </w:tc>
      </w:tr>
      <w:tr w:rsidR="006B01F3"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6B01F3" w:rsidRDefault="006B01F3" w:rsidP="00BD3E07">
            <w:pPr>
              <w:jc w:val="left"/>
              <w:rPr>
                <w:rFonts w:ascii="Arial" w:hAnsi="Arial" w:cs="Arial"/>
                <w:sz w:val="21"/>
                <w:szCs w:val="21"/>
              </w:rPr>
            </w:pPr>
            <w:r>
              <w:rPr>
                <w:rFonts w:ascii="Arial" w:hAnsi="Arial" w:cs="Arial"/>
                <w:sz w:val="21"/>
                <w:szCs w:val="21"/>
              </w:rPr>
              <w:t>CEDIPIEM</w:t>
            </w:r>
          </w:p>
        </w:tc>
        <w:tc>
          <w:tcPr>
            <w:tcW w:w="3092" w:type="dxa"/>
            <w:tcBorders>
              <w:top w:val="nil"/>
              <w:left w:val="nil"/>
              <w:bottom w:val="nil"/>
              <w:right w:val="nil"/>
            </w:tcBorders>
          </w:tcPr>
          <w:p w:rsidR="006B01F3" w:rsidRDefault="006B01F3" w:rsidP="008653E1">
            <w:pPr>
              <w:rPr>
                <w:rFonts w:ascii="Arial" w:hAnsi="Arial" w:cs="Arial"/>
                <w:sz w:val="21"/>
                <w:szCs w:val="21"/>
              </w:rPr>
            </w:pPr>
            <w:r>
              <w:rPr>
                <w:rFonts w:ascii="Arial" w:hAnsi="Arial" w:cs="Arial"/>
                <w:sz w:val="21"/>
                <w:szCs w:val="21"/>
              </w:rPr>
              <w:t xml:space="preserve">Aportaciones de </w:t>
            </w:r>
            <w:r w:rsidR="00D50458">
              <w:rPr>
                <w:rFonts w:ascii="Arial" w:hAnsi="Arial" w:cs="Arial"/>
                <w:sz w:val="21"/>
                <w:szCs w:val="21"/>
              </w:rPr>
              <w:t xml:space="preserve">marzo </w:t>
            </w:r>
            <w:r w:rsidR="008653E1">
              <w:rPr>
                <w:rFonts w:ascii="Arial" w:hAnsi="Arial" w:cs="Arial"/>
                <w:sz w:val="21"/>
                <w:szCs w:val="21"/>
              </w:rPr>
              <w:t>2015</w:t>
            </w:r>
          </w:p>
        </w:tc>
        <w:tc>
          <w:tcPr>
            <w:tcW w:w="2976" w:type="dxa"/>
            <w:tcBorders>
              <w:top w:val="nil"/>
              <w:left w:val="nil"/>
              <w:bottom w:val="nil"/>
              <w:right w:val="nil"/>
            </w:tcBorders>
          </w:tcPr>
          <w:p w:rsidR="006B01F3" w:rsidRDefault="006B01F3" w:rsidP="00D50458">
            <w:pPr>
              <w:jc w:val="right"/>
              <w:rPr>
                <w:rFonts w:ascii="Arial" w:hAnsi="Arial" w:cs="Arial"/>
                <w:sz w:val="21"/>
                <w:szCs w:val="21"/>
              </w:rPr>
            </w:pPr>
            <w:r>
              <w:rPr>
                <w:rFonts w:ascii="Arial" w:hAnsi="Arial" w:cs="Arial"/>
                <w:sz w:val="21"/>
                <w:szCs w:val="21"/>
              </w:rPr>
              <w:t>2,</w:t>
            </w:r>
            <w:r w:rsidR="00D50458">
              <w:rPr>
                <w:rFonts w:ascii="Arial" w:hAnsi="Arial" w:cs="Arial"/>
                <w:sz w:val="21"/>
                <w:szCs w:val="21"/>
              </w:rPr>
              <w:t>100</w:t>
            </w:r>
            <w:r>
              <w:rPr>
                <w:rFonts w:ascii="Arial" w:hAnsi="Arial" w:cs="Arial"/>
                <w:sz w:val="21"/>
                <w:szCs w:val="21"/>
              </w:rPr>
              <w:t>.00</w:t>
            </w:r>
          </w:p>
        </w:tc>
      </w:tr>
      <w:tr w:rsidR="006B01F3"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6B01F3" w:rsidRPr="004D11EC" w:rsidRDefault="006B01F3" w:rsidP="00BD3E07">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r>
              <w:rPr>
                <w:rFonts w:ascii="Arial" w:hAnsi="Arial" w:cs="Arial"/>
                <w:sz w:val="21"/>
                <w:szCs w:val="21"/>
              </w:rPr>
              <w:t xml:space="preserve"> México</w:t>
            </w:r>
          </w:p>
        </w:tc>
        <w:tc>
          <w:tcPr>
            <w:tcW w:w="3092" w:type="dxa"/>
            <w:tcBorders>
              <w:top w:val="nil"/>
              <w:left w:val="nil"/>
              <w:bottom w:val="nil"/>
              <w:right w:val="nil"/>
            </w:tcBorders>
          </w:tcPr>
          <w:p w:rsidR="006B01F3" w:rsidRPr="004D11EC" w:rsidRDefault="006B01F3" w:rsidP="008653E1">
            <w:pPr>
              <w:rPr>
                <w:rFonts w:ascii="Arial" w:hAnsi="Arial" w:cs="Arial"/>
                <w:sz w:val="21"/>
                <w:szCs w:val="21"/>
              </w:rPr>
            </w:pPr>
            <w:r>
              <w:rPr>
                <w:rFonts w:ascii="Arial" w:hAnsi="Arial" w:cs="Arial"/>
                <w:sz w:val="21"/>
                <w:szCs w:val="21"/>
              </w:rPr>
              <w:t xml:space="preserve">Primas de </w:t>
            </w:r>
            <w:r w:rsidR="00D50458">
              <w:rPr>
                <w:rFonts w:ascii="Arial" w:hAnsi="Arial" w:cs="Arial"/>
                <w:sz w:val="21"/>
                <w:szCs w:val="21"/>
              </w:rPr>
              <w:t>marzo</w:t>
            </w:r>
            <w:r>
              <w:rPr>
                <w:rFonts w:ascii="Arial" w:hAnsi="Arial" w:cs="Arial"/>
                <w:sz w:val="21"/>
                <w:szCs w:val="21"/>
              </w:rPr>
              <w:t xml:space="preserve">  </w:t>
            </w:r>
            <w:r w:rsidR="00523ABB">
              <w:rPr>
                <w:rFonts w:ascii="Arial" w:hAnsi="Arial" w:cs="Arial"/>
                <w:sz w:val="21"/>
                <w:szCs w:val="21"/>
              </w:rPr>
              <w:t>2015</w:t>
            </w:r>
            <w:r>
              <w:rPr>
                <w:rFonts w:ascii="Arial" w:hAnsi="Arial" w:cs="Arial"/>
                <w:sz w:val="21"/>
                <w:szCs w:val="21"/>
              </w:rPr>
              <w:t xml:space="preserve">                                                                                                                                                                                                                                                                                                                                                                                                                                                                                                                                                                                                                                                                                                                                                                                                                                                                                                                                                                                                                                                                                                                                                                                                                                                                                                                                                                                                                                                                                                                                                                                                                                                                                                                                                                                                                                                                                                                                                                                                                                                                                                                                                                                                                                                                                                                                                                                                                                                                                                                                                                                                                                                                                                                                                                                                                                                                                                                                                                                                                                                                                                                                                                                                                                                                                                                                                                                                                                                                                                                                                                                                                                                                                                                                                                                                                                                                                                                                                                                                                                                                                                                                                                                                                                                                                                                                                                                                                                                                                                                                                                                                                                                                                                     </w:t>
            </w:r>
            <w:r w:rsidR="00523ABB">
              <w:rPr>
                <w:rFonts w:ascii="Arial" w:hAnsi="Arial" w:cs="Arial"/>
                <w:sz w:val="21"/>
                <w:szCs w:val="21"/>
              </w:rPr>
              <w:t xml:space="preserve"> </w:t>
            </w:r>
          </w:p>
        </w:tc>
        <w:tc>
          <w:tcPr>
            <w:tcW w:w="2976" w:type="dxa"/>
            <w:tcBorders>
              <w:top w:val="nil"/>
              <w:left w:val="nil"/>
              <w:bottom w:val="nil"/>
              <w:right w:val="nil"/>
            </w:tcBorders>
          </w:tcPr>
          <w:p w:rsidR="006B01F3" w:rsidRPr="004D11EC" w:rsidRDefault="006B01F3" w:rsidP="008653E1">
            <w:pPr>
              <w:jc w:val="right"/>
              <w:rPr>
                <w:rFonts w:ascii="Arial" w:hAnsi="Arial" w:cs="Arial"/>
                <w:sz w:val="21"/>
                <w:szCs w:val="21"/>
              </w:rPr>
            </w:pPr>
            <w:r>
              <w:rPr>
                <w:rFonts w:ascii="Arial" w:hAnsi="Arial" w:cs="Arial"/>
                <w:sz w:val="21"/>
                <w:szCs w:val="21"/>
              </w:rPr>
              <w:t>6,</w:t>
            </w:r>
            <w:r w:rsidR="008653E1">
              <w:rPr>
                <w:rFonts w:ascii="Arial" w:hAnsi="Arial" w:cs="Arial"/>
                <w:sz w:val="21"/>
                <w:szCs w:val="21"/>
              </w:rPr>
              <w:t>3</w:t>
            </w:r>
            <w:r>
              <w:rPr>
                <w:rFonts w:ascii="Arial" w:hAnsi="Arial" w:cs="Arial"/>
                <w:sz w:val="21"/>
                <w:szCs w:val="21"/>
              </w:rPr>
              <w:t>99</w:t>
            </w:r>
            <w:r w:rsidR="008653E1">
              <w:rPr>
                <w:rFonts w:ascii="Arial" w:hAnsi="Arial" w:cs="Arial"/>
                <w:sz w:val="21"/>
                <w:szCs w:val="21"/>
              </w:rPr>
              <w:t>.92</w:t>
            </w:r>
          </w:p>
        </w:tc>
      </w:tr>
      <w:tr w:rsidR="006B01F3"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6B01F3" w:rsidRPr="00393F3C" w:rsidRDefault="006B01F3" w:rsidP="00393F3C">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6B01F3" w:rsidRPr="00895BD4" w:rsidRDefault="00D50458" w:rsidP="00E07ACD">
            <w:pPr>
              <w:jc w:val="right"/>
              <w:rPr>
                <w:rFonts w:ascii="Arial" w:hAnsi="Arial" w:cs="Arial"/>
                <w:b/>
                <w:sz w:val="21"/>
                <w:szCs w:val="21"/>
              </w:rPr>
            </w:pPr>
            <w:r>
              <w:rPr>
                <w:rFonts w:ascii="Arial" w:hAnsi="Arial" w:cs="Arial"/>
                <w:b/>
                <w:sz w:val="21"/>
                <w:szCs w:val="21"/>
              </w:rPr>
              <w:t>684,136.93</w:t>
            </w:r>
          </w:p>
        </w:tc>
      </w:tr>
    </w:tbl>
    <w:p w:rsidR="00393F3C" w:rsidRPr="003811E1" w:rsidRDefault="00393F3C" w:rsidP="00D70639">
      <w:pPr>
        <w:pStyle w:val="Prrafodelista"/>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t>$</w:t>
      </w:r>
      <w:r w:rsidR="00D50458">
        <w:rPr>
          <w:rFonts w:ascii="Arial" w:hAnsi="Arial" w:cs="Arial"/>
          <w:sz w:val="21"/>
          <w:szCs w:val="21"/>
        </w:rPr>
        <w:t>1,211,532.81</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2"/>
        <w:gridCol w:w="2950"/>
        <w:gridCol w:w="3118"/>
      </w:tblGrid>
      <w:tr w:rsidR="00D70639" w:rsidRPr="00B31772" w:rsidTr="00BD3E07">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2950" w:type="dxa"/>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3118"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9C455A" w:rsidRPr="004D11EC" w:rsidTr="00BD3E07">
        <w:tc>
          <w:tcPr>
            <w:tcW w:w="3112" w:type="dxa"/>
            <w:vAlign w:val="center"/>
          </w:tcPr>
          <w:p w:rsidR="009C455A" w:rsidRDefault="009C455A" w:rsidP="00A13580">
            <w:pPr>
              <w:jc w:val="left"/>
              <w:rPr>
                <w:rFonts w:ascii="Arial" w:hAnsi="Arial" w:cs="Arial"/>
                <w:sz w:val="21"/>
                <w:szCs w:val="21"/>
              </w:rPr>
            </w:pPr>
            <w:r>
              <w:rPr>
                <w:rFonts w:ascii="Arial" w:hAnsi="Arial" w:cs="Arial"/>
                <w:sz w:val="21"/>
                <w:szCs w:val="21"/>
              </w:rPr>
              <w:t>Cuentas por pagar al GEM</w:t>
            </w:r>
          </w:p>
        </w:tc>
        <w:tc>
          <w:tcPr>
            <w:tcW w:w="2950" w:type="dxa"/>
            <w:vAlign w:val="center"/>
          </w:tcPr>
          <w:p w:rsidR="009C455A" w:rsidRDefault="009C455A" w:rsidP="00A13580">
            <w:pPr>
              <w:jc w:val="left"/>
              <w:rPr>
                <w:rFonts w:ascii="Arial" w:hAnsi="Arial" w:cs="Arial"/>
                <w:sz w:val="21"/>
                <w:szCs w:val="21"/>
              </w:rPr>
            </w:pPr>
            <w:r>
              <w:rPr>
                <w:rFonts w:ascii="Arial" w:hAnsi="Arial" w:cs="Arial"/>
                <w:sz w:val="21"/>
                <w:szCs w:val="21"/>
              </w:rPr>
              <w:t>Comprometidos del presupuesto de egresos</w:t>
            </w:r>
          </w:p>
        </w:tc>
        <w:tc>
          <w:tcPr>
            <w:tcW w:w="3118" w:type="dxa"/>
            <w:vAlign w:val="center"/>
          </w:tcPr>
          <w:p w:rsidR="009C455A" w:rsidRDefault="009C455A" w:rsidP="009C455A">
            <w:pPr>
              <w:jc w:val="right"/>
              <w:rPr>
                <w:rFonts w:ascii="Arial" w:hAnsi="Arial" w:cs="Arial"/>
                <w:sz w:val="21"/>
                <w:szCs w:val="21"/>
              </w:rPr>
            </w:pPr>
            <w:r>
              <w:rPr>
                <w:rFonts w:ascii="Arial" w:hAnsi="Arial" w:cs="Arial"/>
                <w:sz w:val="21"/>
                <w:szCs w:val="21"/>
              </w:rPr>
              <w:t>927,120.30</w:t>
            </w:r>
          </w:p>
        </w:tc>
      </w:tr>
      <w:tr w:rsidR="009C455A" w:rsidRPr="004D11EC" w:rsidTr="00BD3E07">
        <w:tc>
          <w:tcPr>
            <w:tcW w:w="3112" w:type="dxa"/>
            <w:vAlign w:val="center"/>
          </w:tcPr>
          <w:p w:rsidR="009C455A" w:rsidRDefault="009C455A" w:rsidP="009C455A">
            <w:pPr>
              <w:jc w:val="left"/>
              <w:rPr>
                <w:rFonts w:ascii="Arial" w:hAnsi="Arial" w:cs="Arial"/>
                <w:sz w:val="21"/>
                <w:szCs w:val="21"/>
              </w:rPr>
            </w:pPr>
            <w:r>
              <w:rPr>
                <w:rFonts w:ascii="Arial" w:hAnsi="Arial" w:cs="Arial"/>
                <w:sz w:val="21"/>
                <w:szCs w:val="21"/>
              </w:rPr>
              <w:t>SEDATU</w:t>
            </w:r>
          </w:p>
        </w:tc>
        <w:tc>
          <w:tcPr>
            <w:tcW w:w="2950" w:type="dxa"/>
            <w:vAlign w:val="center"/>
          </w:tcPr>
          <w:p w:rsidR="009C455A" w:rsidRDefault="009C455A" w:rsidP="009C455A">
            <w:pPr>
              <w:jc w:val="left"/>
              <w:rPr>
                <w:rFonts w:ascii="Arial" w:hAnsi="Arial" w:cs="Arial"/>
                <w:sz w:val="21"/>
                <w:szCs w:val="21"/>
              </w:rPr>
            </w:pPr>
            <w:r>
              <w:rPr>
                <w:rFonts w:ascii="Arial" w:hAnsi="Arial" w:cs="Arial"/>
                <w:sz w:val="21"/>
                <w:szCs w:val="21"/>
              </w:rPr>
              <w:t>Intereses generados del GIS</w:t>
            </w:r>
          </w:p>
        </w:tc>
        <w:tc>
          <w:tcPr>
            <w:tcW w:w="3118" w:type="dxa"/>
            <w:vAlign w:val="center"/>
          </w:tcPr>
          <w:p w:rsidR="009C455A" w:rsidRDefault="009C455A" w:rsidP="009C455A">
            <w:pPr>
              <w:jc w:val="right"/>
              <w:rPr>
                <w:rFonts w:ascii="Arial" w:hAnsi="Arial" w:cs="Arial"/>
                <w:sz w:val="21"/>
                <w:szCs w:val="21"/>
              </w:rPr>
            </w:pPr>
            <w:r>
              <w:rPr>
                <w:rFonts w:ascii="Arial" w:hAnsi="Arial" w:cs="Arial"/>
                <w:sz w:val="21"/>
                <w:szCs w:val="21"/>
              </w:rPr>
              <w:t>228,504.00</w:t>
            </w:r>
          </w:p>
        </w:tc>
      </w:tr>
      <w:tr w:rsidR="009C455A" w:rsidRPr="004D11EC" w:rsidTr="00BD3E07">
        <w:tc>
          <w:tcPr>
            <w:tcW w:w="3112" w:type="dxa"/>
            <w:vAlign w:val="center"/>
          </w:tcPr>
          <w:p w:rsidR="009C455A" w:rsidRDefault="009C455A" w:rsidP="009C455A">
            <w:pPr>
              <w:jc w:val="left"/>
              <w:rPr>
                <w:rFonts w:ascii="Arial" w:hAnsi="Arial" w:cs="Arial"/>
                <w:sz w:val="21"/>
                <w:szCs w:val="21"/>
              </w:rPr>
            </w:pPr>
            <w:r>
              <w:rPr>
                <w:rFonts w:ascii="Arial" w:hAnsi="Arial" w:cs="Arial"/>
                <w:sz w:val="21"/>
                <w:szCs w:val="21"/>
              </w:rPr>
              <w:t>Provisión de Gastos 2015</w:t>
            </w:r>
          </w:p>
        </w:tc>
        <w:tc>
          <w:tcPr>
            <w:tcW w:w="2950" w:type="dxa"/>
            <w:vAlign w:val="center"/>
          </w:tcPr>
          <w:p w:rsidR="009C455A" w:rsidRDefault="009C455A" w:rsidP="009B004B">
            <w:pPr>
              <w:jc w:val="left"/>
              <w:rPr>
                <w:rFonts w:ascii="Arial" w:hAnsi="Arial" w:cs="Arial"/>
                <w:sz w:val="21"/>
                <w:szCs w:val="21"/>
              </w:rPr>
            </w:pPr>
            <w:r>
              <w:rPr>
                <w:rFonts w:ascii="Arial" w:hAnsi="Arial" w:cs="Arial"/>
                <w:sz w:val="21"/>
                <w:szCs w:val="21"/>
              </w:rPr>
              <w:t xml:space="preserve">Gastos ejercidos en </w:t>
            </w:r>
            <w:r w:rsidR="009B004B">
              <w:rPr>
                <w:rFonts w:ascii="Arial" w:hAnsi="Arial" w:cs="Arial"/>
                <w:sz w:val="21"/>
                <w:szCs w:val="21"/>
              </w:rPr>
              <w:t>marzo</w:t>
            </w:r>
          </w:p>
        </w:tc>
        <w:tc>
          <w:tcPr>
            <w:tcW w:w="3118" w:type="dxa"/>
            <w:vAlign w:val="center"/>
          </w:tcPr>
          <w:p w:rsidR="009C455A" w:rsidRDefault="009B004B" w:rsidP="009B004B">
            <w:pPr>
              <w:jc w:val="right"/>
              <w:rPr>
                <w:rFonts w:ascii="Arial" w:hAnsi="Arial" w:cs="Arial"/>
                <w:sz w:val="21"/>
                <w:szCs w:val="21"/>
              </w:rPr>
            </w:pPr>
            <w:r>
              <w:rPr>
                <w:rFonts w:ascii="Arial" w:hAnsi="Arial" w:cs="Arial"/>
                <w:sz w:val="21"/>
                <w:szCs w:val="21"/>
              </w:rPr>
              <w:t>51,108.51</w:t>
            </w:r>
          </w:p>
        </w:tc>
      </w:tr>
      <w:tr w:rsidR="009C455A" w:rsidRPr="004D11EC" w:rsidTr="00BD3E07">
        <w:tc>
          <w:tcPr>
            <w:tcW w:w="3112" w:type="dxa"/>
            <w:vAlign w:val="center"/>
          </w:tcPr>
          <w:p w:rsidR="009C455A" w:rsidRDefault="009C455A" w:rsidP="00D34AAA">
            <w:pPr>
              <w:jc w:val="left"/>
              <w:rPr>
                <w:rFonts w:ascii="Arial" w:hAnsi="Arial" w:cs="Arial"/>
                <w:sz w:val="21"/>
                <w:szCs w:val="21"/>
              </w:rPr>
            </w:pPr>
            <w:r>
              <w:rPr>
                <w:rFonts w:ascii="Arial" w:hAnsi="Arial" w:cs="Arial"/>
                <w:sz w:val="21"/>
                <w:szCs w:val="21"/>
              </w:rPr>
              <w:t>Oscar Gama García</w:t>
            </w:r>
          </w:p>
        </w:tc>
        <w:tc>
          <w:tcPr>
            <w:tcW w:w="2950" w:type="dxa"/>
            <w:vAlign w:val="center"/>
          </w:tcPr>
          <w:p w:rsidR="009C455A" w:rsidRDefault="002B6EF3" w:rsidP="00B645D3">
            <w:pPr>
              <w:jc w:val="left"/>
              <w:rPr>
                <w:rFonts w:ascii="Arial" w:hAnsi="Arial" w:cs="Arial"/>
                <w:sz w:val="21"/>
                <w:szCs w:val="21"/>
              </w:rPr>
            </w:pPr>
            <w:r>
              <w:rPr>
                <w:rFonts w:ascii="Arial" w:hAnsi="Arial" w:cs="Arial"/>
                <w:sz w:val="21"/>
                <w:szCs w:val="21"/>
              </w:rPr>
              <w:t>Compra de material diverso</w:t>
            </w:r>
          </w:p>
        </w:tc>
        <w:tc>
          <w:tcPr>
            <w:tcW w:w="3118" w:type="dxa"/>
            <w:vAlign w:val="center"/>
          </w:tcPr>
          <w:p w:rsidR="009C455A" w:rsidRDefault="009C455A" w:rsidP="002B6EF3">
            <w:pPr>
              <w:jc w:val="right"/>
              <w:rPr>
                <w:rFonts w:ascii="Arial" w:hAnsi="Arial" w:cs="Arial"/>
                <w:sz w:val="21"/>
                <w:szCs w:val="21"/>
              </w:rPr>
            </w:pPr>
            <w:r>
              <w:rPr>
                <w:rFonts w:ascii="Arial" w:hAnsi="Arial" w:cs="Arial"/>
                <w:sz w:val="21"/>
                <w:szCs w:val="21"/>
              </w:rPr>
              <w:t>4,</w:t>
            </w:r>
            <w:r w:rsidR="002B6EF3">
              <w:rPr>
                <w:rFonts w:ascii="Arial" w:hAnsi="Arial" w:cs="Arial"/>
                <w:sz w:val="21"/>
                <w:szCs w:val="21"/>
              </w:rPr>
              <w:t>8</w:t>
            </w:r>
            <w:r>
              <w:rPr>
                <w:rFonts w:ascii="Arial" w:hAnsi="Arial" w:cs="Arial"/>
                <w:sz w:val="21"/>
                <w:szCs w:val="21"/>
              </w:rPr>
              <w:t>0</w:t>
            </w:r>
            <w:r w:rsidR="002B6EF3">
              <w:rPr>
                <w:rFonts w:ascii="Arial" w:hAnsi="Arial" w:cs="Arial"/>
                <w:sz w:val="21"/>
                <w:szCs w:val="21"/>
              </w:rPr>
              <w:t>0</w:t>
            </w:r>
            <w:r>
              <w:rPr>
                <w:rFonts w:ascii="Arial" w:hAnsi="Arial" w:cs="Arial"/>
                <w:sz w:val="21"/>
                <w:szCs w:val="21"/>
              </w:rPr>
              <w:t>.0</w:t>
            </w:r>
            <w:r w:rsidR="002B6EF3">
              <w:rPr>
                <w:rFonts w:ascii="Arial" w:hAnsi="Arial" w:cs="Arial"/>
                <w:sz w:val="21"/>
                <w:szCs w:val="21"/>
              </w:rPr>
              <w:t>0</w:t>
            </w:r>
          </w:p>
        </w:tc>
      </w:tr>
      <w:tr w:rsidR="009C455A" w:rsidRPr="004D11EC" w:rsidTr="00BD3E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062" w:type="dxa"/>
            <w:gridSpan w:val="2"/>
            <w:tcBorders>
              <w:top w:val="nil"/>
              <w:left w:val="nil"/>
              <w:bottom w:val="nil"/>
              <w:right w:val="nil"/>
            </w:tcBorders>
          </w:tcPr>
          <w:p w:rsidR="009C455A" w:rsidRPr="00393F3C" w:rsidRDefault="009C455A" w:rsidP="00BD3E07">
            <w:pPr>
              <w:jc w:val="right"/>
              <w:rPr>
                <w:rFonts w:ascii="Arial" w:hAnsi="Arial" w:cs="Arial"/>
                <w:b/>
                <w:sz w:val="21"/>
                <w:szCs w:val="21"/>
              </w:rPr>
            </w:pPr>
            <w:r w:rsidRPr="00393F3C">
              <w:rPr>
                <w:rFonts w:ascii="Arial" w:hAnsi="Arial" w:cs="Arial"/>
                <w:b/>
                <w:sz w:val="21"/>
                <w:szCs w:val="21"/>
              </w:rPr>
              <w:t>Suma</w:t>
            </w:r>
          </w:p>
        </w:tc>
        <w:tc>
          <w:tcPr>
            <w:tcW w:w="3118" w:type="dxa"/>
            <w:tcBorders>
              <w:top w:val="nil"/>
              <w:left w:val="nil"/>
              <w:bottom w:val="nil"/>
              <w:right w:val="nil"/>
            </w:tcBorders>
          </w:tcPr>
          <w:p w:rsidR="009C455A" w:rsidRPr="00561D34" w:rsidRDefault="002B6EF3" w:rsidP="009B004B">
            <w:pPr>
              <w:jc w:val="right"/>
              <w:rPr>
                <w:rFonts w:ascii="Arial" w:hAnsi="Arial" w:cs="Arial"/>
                <w:b/>
                <w:sz w:val="21"/>
                <w:szCs w:val="21"/>
              </w:rPr>
            </w:pPr>
            <w:r>
              <w:rPr>
                <w:rFonts w:ascii="Arial" w:hAnsi="Arial" w:cs="Arial"/>
                <w:b/>
                <w:sz w:val="21"/>
                <w:szCs w:val="21"/>
              </w:rPr>
              <w:t>1,</w:t>
            </w:r>
            <w:r w:rsidR="009B004B">
              <w:rPr>
                <w:rFonts w:ascii="Arial" w:hAnsi="Arial" w:cs="Arial"/>
                <w:b/>
                <w:sz w:val="21"/>
                <w:szCs w:val="21"/>
              </w:rPr>
              <w:t>211,532.81</w:t>
            </w:r>
          </w:p>
        </w:tc>
      </w:tr>
    </w:tbl>
    <w:p w:rsidR="00C3186F" w:rsidRDefault="00F76A32" w:rsidP="00F76A32">
      <w:pPr>
        <w:pStyle w:val="Prrafodelista"/>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Pr="00AA7CFC" w:rsidRDefault="00AA7CFC" w:rsidP="00AA7CFC">
      <w:pPr>
        <w:rPr>
          <w:rFonts w:ascii="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BD3E07">
            <w:pPr>
              <w:jc w:val="right"/>
              <w:rPr>
                <w:rFonts w:ascii="Arial" w:hAnsi="Arial" w:cs="Arial"/>
                <w:sz w:val="21"/>
                <w:szCs w:val="21"/>
              </w:rPr>
            </w:pPr>
            <w:r>
              <w:rPr>
                <w:rFonts w:ascii="Arial" w:hAnsi="Arial" w:cs="Arial"/>
                <w:sz w:val="21"/>
                <w:szCs w:val="21"/>
              </w:rPr>
              <w:t>15,408,273.98</w:t>
            </w:r>
          </w:p>
        </w:tc>
      </w:tr>
      <w:tr w:rsidR="00AA7CFC" w:rsidRPr="00AE5E99"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 de Ejercicio</w:t>
            </w:r>
          </w:p>
        </w:tc>
        <w:tc>
          <w:tcPr>
            <w:tcW w:w="3118" w:type="dxa"/>
            <w:vAlign w:val="center"/>
          </w:tcPr>
          <w:p w:rsidR="00AA7CFC" w:rsidRPr="00460771" w:rsidRDefault="009B004B" w:rsidP="009B004B">
            <w:pPr>
              <w:spacing w:before="100" w:after="100"/>
              <w:jc w:val="right"/>
              <w:rPr>
                <w:rFonts w:ascii="Arial" w:hAnsi="Arial" w:cs="Arial"/>
                <w:sz w:val="21"/>
                <w:szCs w:val="21"/>
              </w:rPr>
            </w:pPr>
            <w:r>
              <w:rPr>
                <w:rFonts w:ascii="Arial" w:hAnsi="Arial" w:cs="Arial"/>
                <w:sz w:val="21"/>
                <w:szCs w:val="21"/>
              </w:rPr>
              <w:t>(1,102,795.06)</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 de Ejercicios Anteriores</w:t>
            </w:r>
          </w:p>
        </w:tc>
        <w:tc>
          <w:tcPr>
            <w:tcW w:w="3118" w:type="dxa"/>
            <w:vAlign w:val="center"/>
          </w:tcPr>
          <w:p w:rsidR="00AA7CFC" w:rsidRPr="004D11EC" w:rsidRDefault="0072196E" w:rsidP="000219CC">
            <w:pPr>
              <w:jc w:val="right"/>
              <w:rPr>
                <w:rFonts w:ascii="Arial" w:hAnsi="Arial" w:cs="Arial"/>
                <w:sz w:val="21"/>
                <w:szCs w:val="21"/>
              </w:rPr>
            </w:pPr>
            <w:r>
              <w:rPr>
                <w:rFonts w:ascii="Arial" w:hAnsi="Arial" w:cs="Arial"/>
                <w:sz w:val="21"/>
                <w:szCs w:val="21"/>
              </w:rPr>
              <w:t>(2,943,172.23)</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9B004B" w:rsidP="00601BAF">
            <w:pPr>
              <w:jc w:val="right"/>
              <w:rPr>
                <w:rFonts w:ascii="Arial" w:hAnsi="Arial" w:cs="Arial"/>
                <w:b/>
                <w:sz w:val="21"/>
                <w:szCs w:val="21"/>
              </w:rPr>
            </w:pPr>
            <w:r>
              <w:rPr>
                <w:rFonts w:ascii="Arial" w:hAnsi="Arial" w:cs="Arial"/>
                <w:b/>
                <w:sz w:val="21"/>
                <w:szCs w:val="21"/>
              </w:rPr>
              <w:t>16,523,561.32</w:t>
            </w:r>
          </w:p>
        </w:tc>
      </w:tr>
    </w:tbl>
    <w:p w:rsidR="00E03286" w:rsidRDefault="00E03286" w:rsidP="00E03286">
      <w:pPr>
        <w:ind w:left="360"/>
        <w:rPr>
          <w:rFonts w:ascii="Arial" w:hAnsi="Arial" w:cs="Arial"/>
          <w:sz w:val="21"/>
          <w:szCs w:val="21"/>
          <w:highlight w:val="lightGray"/>
        </w:rPr>
      </w:pPr>
    </w:p>
    <w:p w:rsidR="00E03286" w:rsidRDefault="00E03286">
      <w:pPr>
        <w:rPr>
          <w:rFonts w:ascii="Arial" w:hAnsi="Arial" w:cs="Arial"/>
          <w:sz w:val="21"/>
          <w:szCs w:val="21"/>
          <w:highlight w:val="lightGray"/>
        </w:rPr>
      </w:pPr>
      <w:r>
        <w:rPr>
          <w:rFonts w:ascii="Arial" w:hAnsi="Arial" w:cs="Arial"/>
          <w:sz w:val="21"/>
          <w:szCs w:val="21"/>
          <w:highlight w:val="lightGray"/>
        </w:rPr>
        <w:br w:type="page"/>
      </w:r>
    </w:p>
    <w:p w:rsidR="00F76A32" w:rsidRPr="00E03286" w:rsidRDefault="008344FC" w:rsidP="00E03286">
      <w:pPr>
        <w:ind w:left="360"/>
        <w:rPr>
          <w:rFonts w:ascii="Arial" w:hAnsi="Arial" w:cs="Arial"/>
          <w:sz w:val="21"/>
          <w:szCs w:val="21"/>
        </w:rPr>
      </w:pPr>
      <w:r w:rsidRPr="00E03286">
        <w:rPr>
          <w:rFonts w:ascii="Arial" w:hAnsi="Arial" w:cs="Arial"/>
          <w:sz w:val="21"/>
          <w:szCs w:val="21"/>
        </w:rPr>
        <w:lastRenderedPageBreak/>
        <w:t>Notas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Prrafodelista"/>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al </w:t>
      </w:r>
      <w:r w:rsidR="009B004B">
        <w:rPr>
          <w:rFonts w:ascii="Arial" w:hAnsi="Arial" w:cs="Arial"/>
          <w:sz w:val="21"/>
          <w:szCs w:val="21"/>
        </w:rPr>
        <w:t>31</w:t>
      </w:r>
      <w:r>
        <w:rPr>
          <w:rFonts w:ascii="Arial" w:hAnsi="Arial" w:cs="Arial"/>
          <w:sz w:val="21"/>
          <w:szCs w:val="21"/>
        </w:rPr>
        <w:t xml:space="preserve"> de </w:t>
      </w:r>
      <w:r w:rsidR="009B004B">
        <w:rPr>
          <w:rFonts w:ascii="Arial" w:hAnsi="Arial" w:cs="Arial"/>
          <w:sz w:val="21"/>
          <w:szCs w:val="21"/>
        </w:rPr>
        <w:t>marzo</w:t>
      </w:r>
      <w:r>
        <w:rPr>
          <w:rFonts w:ascii="Arial" w:hAnsi="Arial" w:cs="Arial"/>
          <w:sz w:val="21"/>
          <w:szCs w:val="21"/>
        </w:rPr>
        <w:t xml:space="preserve"> se detallan a continuación: </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657677" w:rsidRPr="00B31772" w:rsidTr="00BD3E07">
        <w:tc>
          <w:tcPr>
            <w:tcW w:w="3510" w:type="dxa"/>
            <w:vAlign w:val="center"/>
          </w:tcPr>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9B004B" w:rsidP="00601BAF">
            <w:pPr>
              <w:jc w:val="right"/>
              <w:rPr>
                <w:rFonts w:ascii="Arial" w:hAnsi="Arial" w:cs="Arial"/>
                <w:sz w:val="21"/>
                <w:szCs w:val="21"/>
              </w:rPr>
            </w:pPr>
            <w:r>
              <w:rPr>
                <w:rFonts w:ascii="Arial" w:hAnsi="Arial" w:cs="Arial"/>
                <w:sz w:val="21"/>
                <w:szCs w:val="21"/>
              </w:rPr>
              <w:t>155,309.61</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4E0E4B" w:rsidP="00601BAF">
            <w:pPr>
              <w:jc w:val="right"/>
              <w:rPr>
                <w:rFonts w:ascii="Arial" w:hAnsi="Arial" w:cs="Arial"/>
                <w:sz w:val="21"/>
                <w:szCs w:val="21"/>
              </w:rPr>
            </w:pPr>
            <w:r>
              <w:rPr>
                <w:rFonts w:ascii="Arial" w:hAnsi="Arial" w:cs="Arial"/>
                <w:sz w:val="21"/>
                <w:szCs w:val="21"/>
              </w:rPr>
              <w:t>576,671.70</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 Información</w:t>
            </w:r>
          </w:p>
        </w:tc>
        <w:tc>
          <w:tcPr>
            <w:tcW w:w="3118" w:type="dxa"/>
            <w:vAlign w:val="center"/>
          </w:tcPr>
          <w:p w:rsidR="00657677" w:rsidRPr="004D11EC" w:rsidRDefault="00601BAF" w:rsidP="004E0E4B">
            <w:pPr>
              <w:jc w:val="right"/>
              <w:rPr>
                <w:rFonts w:ascii="Arial" w:hAnsi="Arial" w:cs="Arial"/>
                <w:sz w:val="21"/>
                <w:szCs w:val="21"/>
              </w:rPr>
            </w:pPr>
            <w:r>
              <w:rPr>
                <w:rFonts w:ascii="Arial" w:hAnsi="Arial" w:cs="Arial"/>
                <w:sz w:val="21"/>
                <w:szCs w:val="21"/>
              </w:rPr>
              <w:t>1,</w:t>
            </w:r>
            <w:r w:rsidR="004E0E4B">
              <w:rPr>
                <w:rFonts w:ascii="Arial" w:hAnsi="Arial" w:cs="Arial"/>
                <w:sz w:val="21"/>
                <w:szCs w:val="21"/>
              </w:rPr>
              <w:t>275,774.49</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657677" w:rsidRPr="004D11EC" w:rsidRDefault="004E0E4B" w:rsidP="00601BAF">
            <w:pPr>
              <w:jc w:val="right"/>
              <w:rPr>
                <w:rFonts w:ascii="Arial" w:hAnsi="Arial" w:cs="Arial"/>
                <w:sz w:val="21"/>
                <w:szCs w:val="21"/>
              </w:rPr>
            </w:pPr>
            <w:r>
              <w:rPr>
                <w:rFonts w:ascii="Arial" w:hAnsi="Arial" w:cs="Arial"/>
                <w:sz w:val="21"/>
                <w:szCs w:val="21"/>
              </w:rPr>
              <w:t>380,427.74</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601BAF" w:rsidP="004E0E4B">
            <w:pPr>
              <w:jc w:val="right"/>
              <w:rPr>
                <w:rFonts w:ascii="Arial" w:hAnsi="Arial" w:cs="Arial"/>
                <w:b/>
                <w:sz w:val="21"/>
                <w:szCs w:val="21"/>
              </w:rPr>
            </w:pPr>
            <w:r>
              <w:rPr>
                <w:rFonts w:ascii="Arial" w:hAnsi="Arial" w:cs="Arial"/>
                <w:b/>
                <w:sz w:val="21"/>
                <w:szCs w:val="21"/>
              </w:rPr>
              <w:t>3,</w:t>
            </w:r>
            <w:r w:rsidR="004E0E4B">
              <w:rPr>
                <w:rFonts w:ascii="Arial" w:hAnsi="Arial" w:cs="Arial"/>
                <w:b/>
                <w:sz w:val="21"/>
                <w:szCs w:val="21"/>
              </w:rPr>
              <w:t>388,183.54</w:t>
            </w:r>
          </w:p>
        </w:tc>
      </w:tr>
    </w:tbl>
    <w:p w:rsidR="00D70639" w:rsidRDefault="00657677" w:rsidP="00657677">
      <w:pPr>
        <w:pStyle w:val="Prrafodelista"/>
        <w:numPr>
          <w:ilvl w:val="0"/>
          <w:numId w:val="6"/>
        </w:numPr>
        <w:rPr>
          <w:rFonts w:ascii="Arial" w:hAnsi="Arial" w:cs="Arial"/>
          <w:sz w:val="21"/>
          <w:szCs w:val="21"/>
        </w:rPr>
      </w:pPr>
      <w:r>
        <w:rPr>
          <w:rFonts w:ascii="Arial" w:hAnsi="Arial" w:cs="Arial"/>
          <w:sz w:val="21"/>
          <w:szCs w:val="21"/>
        </w:rPr>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al </w:t>
      </w:r>
      <w:r w:rsidR="00601BAF">
        <w:rPr>
          <w:rFonts w:ascii="Arial" w:hAnsi="Arial" w:cs="Arial"/>
          <w:sz w:val="21"/>
          <w:szCs w:val="21"/>
        </w:rPr>
        <w:t>28 de febrero</w:t>
      </w:r>
      <w:r w:rsidR="00781370">
        <w:rPr>
          <w:rFonts w:ascii="Arial" w:hAnsi="Arial" w:cs="Arial"/>
          <w:sz w:val="21"/>
          <w:szCs w:val="21"/>
        </w:rPr>
        <w:t xml:space="preserve"> de 201</w:t>
      </w:r>
      <w:r w:rsidR="0072196E">
        <w:rPr>
          <w:rFonts w:ascii="Arial" w:hAnsi="Arial" w:cs="Arial"/>
          <w:sz w:val="21"/>
          <w:szCs w:val="21"/>
        </w:rPr>
        <w:t>5</w:t>
      </w:r>
      <w:r w:rsidR="00781370">
        <w:rPr>
          <w:rFonts w:ascii="Arial" w:hAnsi="Arial" w:cs="Arial"/>
          <w:sz w:val="21"/>
          <w:szCs w:val="21"/>
        </w:rPr>
        <w:t xml:space="preserve"> fue por $</w:t>
      </w:r>
      <w:r w:rsidR="00601BAF">
        <w:rPr>
          <w:rFonts w:ascii="Arial" w:hAnsi="Arial" w:cs="Arial"/>
          <w:sz w:val="21"/>
          <w:szCs w:val="21"/>
        </w:rPr>
        <w:t>1</w:t>
      </w:r>
      <w:r w:rsidR="004E0E4B">
        <w:rPr>
          <w:rFonts w:ascii="Arial" w:hAnsi="Arial" w:cs="Arial"/>
          <w:sz w:val="21"/>
          <w:szCs w:val="21"/>
        </w:rPr>
        <w:t>3</w:t>
      </w:r>
      <w:proofErr w:type="gramStart"/>
      <w:r w:rsidR="004E0E4B">
        <w:rPr>
          <w:rFonts w:ascii="Arial" w:hAnsi="Arial" w:cs="Arial"/>
          <w:sz w:val="21"/>
          <w:szCs w:val="21"/>
        </w:rPr>
        <w:t>,</w:t>
      </w:r>
      <w:r w:rsidR="00467075">
        <w:rPr>
          <w:rFonts w:ascii="Arial" w:hAnsi="Arial" w:cs="Arial"/>
          <w:sz w:val="21"/>
          <w:szCs w:val="21"/>
        </w:rPr>
        <w:t>743,795.04</w:t>
      </w:r>
      <w:proofErr w:type="gramEnd"/>
      <w:r w:rsidR="00344D08">
        <w:rPr>
          <w:rFonts w:ascii="Arial" w:hAnsi="Arial" w:cs="Arial"/>
          <w:sz w:val="21"/>
          <w:szCs w:val="21"/>
        </w:rPr>
        <w:t>.</w:t>
      </w:r>
    </w:p>
    <w:p w:rsidR="00344D08" w:rsidRDefault="00344D08" w:rsidP="00344D08">
      <w:pPr>
        <w:pStyle w:val="Prrafodelista"/>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BD3E07">
            <w:pPr>
              <w:jc w:val="left"/>
              <w:rPr>
                <w:rFonts w:ascii="Arial" w:hAnsi="Arial" w:cs="Arial"/>
                <w:sz w:val="21"/>
                <w:szCs w:val="21"/>
              </w:rPr>
            </w:pPr>
            <w:r>
              <w:rPr>
                <w:rFonts w:ascii="Arial" w:hAnsi="Arial" w:cs="Arial"/>
                <w:sz w:val="21"/>
                <w:szCs w:val="21"/>
              </w:rPr>
              <w:t>Intereses Bancarios</w:t>
            </w:r>
          </w:p>
        </w:tc>
        <w:tc>
          <w:tcPr>
            <w:tcW w:w="3118" w:type="dxa"/>
            <w:vAlign w:val="center"/>
          </w:tcPr>
          <w:p w:rsidR="00B216F7" w:rsidRPr="004D11EC" w:rsidRDefault="00467075" w:rsidP="00601BAF">
            <w:pPr>
              <w:jc w:val="right"/>
              <w:rPr>
                <w:rFonts w:ascii="Arial" w:hAnsi="Arial" w:cs="Arial"/>
                <w:sz w:val="21"/>
                <w:szCs w:val="21"/>
              </w:rPr>
            </w:pPr>
            <w:r>
              <w:rPr>
                <w:rFonts w:ascii="Arial" w:hAnsi="Arial" w:cs="Arial"/>
                <w:sz w:val="21"/>
                <w:szCs w:val="21"/>
              </w:rPr>
              <w:t>5,611.96</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467075" w:rsidP="00467075">
            <w:pPr>
              <w:jc w:val="right"/>
              <w:rPr>
                <w:rFonts w:ascii="Arial" w:hAnsi="Arial" w:cs="Arial"/>
                <w:sz w:val="21"/>
                <w:szCs w:val="21"/>
              </w:rPr>
            </w:pPr>
            <w:r>
              <w:rPr>
                <w:rFonts w:ascii="Arial" w:hAnsi="Arial" w:cs="Arial"/>
                <w:sz w:val="21"/>
                <w:szCs w:val="21"/>
              </w:rPr>
              <w:t>3,633.58</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467075" w:rsidP="00601BAF">
            <w:pPr>
              <w:jc w:val="right"/>
              <w:rPr>
                <w:rFonts w:ascii="Arial" w:hAnsi="Arial" w:cs="Arial"/>
                <w:b/>
                <w:sz w:val="21"/>
                <w:szCs w:val="21"/>
              </w:rPr>
            </w:pPr>
            <w:r>
              <w:rPr>
                <w:rFonts w:ascii="Arial" w:hAnsi="Arial" w:cs="Arial"/>
                <w:b/>
                <w:sz w:val="21"/>
                <w:szCs w:val="21"/>
              </w:rPr>
              <w:t>9,245.54</w:t>
            </w:r>
          </w:p>
        </w:tc>
      </w:tr>
    </w:tbl>
    <w:p w:rsidR="003F224C" w:rsidRDefault="003F224C" w:rsidP="00344D08">
      <w:pPr>
        <w:rPr>
          <w:rFonts w:ascii="Arial" w:hAnsi="Arial" w:cs="Arial"/>
          <w:sz w:val="21"/>
          <w:szCs w:val="21"/>
        </w:rPr>
      </w:pPr>
      <w:r>
        <w:rPr>
          <w:rFonts w:ascii="Arial" w:hAnsi="Arial" w:cs="Arial"/>
          <w:sz w:val="21"/>
          <w:szCs w:val="21"/>
        </w:rPr>
        <w:t xml:space="preserve">El total de ingresos recaudados al </w:t>
      </w:r>
      <w:r w:rsidR="00467075">
        <w:rPr>
          <w:rFonts w:ascii="Arial" w:hAnsi="Arial" w:cs="Arial"/>
          <w:sz w:val="21"/>
          <w:szCs w:val="21"/>
        </w:rPr>
        <w:t>31 de marzo</w:t>
      </w:r>
      <w:r>
        <w:rPr>
          <w:rFonts w:ascii="Arial" w:hAnsi="Arial" w:cs="Arial"/>
          <w:sz w:val="21"/>
          <w:szCs w:val="21"/>
        </w:rPr>
        <w:t xml:space="preserve"> de 201</w:t>
      </w:r>
      <w:r w:rsidR="00C037A8">
        <w:rPr>
          <w:rFonts w:ascii="Arial" w:hAnsi="Arial" w:cs="Arial"/>
          <w:sz w:val="21"/>
          <w:szCs w:val="21"/>
        </w:rPr>
        <w:t>5</w:t>
      </w:r>
      <w:r>
        <w:rPr>
          <w:rFonts w:ascii="Arial" w:hAnsi="Arial" w:cs="Arial"/>
          <w:sz w:val="21"/>
          <w:szCs w:val="21"/>
        </w:rPr>
        <w:t xml:space="preserve"> fue por $ </w:t>
      </w:r>
      <w:r w:rsidR="00467075">
        <w:rPr>
          <w:rFonts w:ascii="Arial" w:hAnsi="Arial" w:cs="Arial"/>
          <w:sz w:val="21"/>
          <w:szCs w:val="21"/>
        </w:rPr>
        <w:t>16</w:t>
      </w:r>
      <w:proofErr w:type="gramStart"/>
      <w:r w:rsidR="00467075">
        <w:rPr>
          <w:rFonts w:ascii="Arial" w:hAnsi="Arial" w:cs="Arial"/>
          <w:sz w:val="21"/>
          <w:szCs w:val="21"/>
        </w:rPr>
        <w:t>,141,224.12</w:t>
      </w:r>
      <w:proofErr w:type="gramEnd"/>
      <w:r>
        <w:rPr>
          <w:rFonts w:ascii="Arial" w:hAnsi="Arial" w:cs="Arial"/>
          <w:sz w:val="21"/>
          <w:szCs w:val="21"/>
        </w:rPr>
        <w:t>.</w:t>
      </w: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467075" w:rsidP="00467075">
            <w:pPr>
              <w:jc w:val="right"/>
              <w:rPr>
                <w:rFonts w:ascii="Arial" w:hAnsi="Arial" w:cs="Arial"/>
                <w:sz w:val="21"/>
                <w:szCs w:val="21"/>
              </w:rPr>
            </w:pPr>
            <w:r>
              <w:rPr>
                <w:rFonts w:ascii="Arial" w:hAnsi="Arial" w:cs="Arial"/>
                <w:sz w:val="21"/>
                <w:szCs w:val="21"/>
              </w:rPr>
              <w:t>14,891,373.19</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467075" w:rsidP="000156D9">
            <w:pPr>
              <w:jc w:val="right"/>
              <w:rPr>
                <w:rFonts w:ascii="Arial" w:hAnsi="Arial" w:cs="Arial"/>
                <w:sz w:val="21"/>
                <w:szCs w:val="21"/>
              </w:rPr>
            </w:pPr>
            <w:r>
              <w:rPr>
                <w:rFonts w:ascii="Arial" w:hAnsi="Arial" w:cs="Arial"/>
                <w:sz w:val="21"/>
                <w:szCs w:val="21"/>
              </w:rPr>
              <w:t>385,896.15</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3F224C" w:rsidRPr="004D11EC" w:rsidRDefault="00467075" w:rsidP="000156D9">
            <w:pPr>
              <w:jc w:val="right"/>
              <w:rPr>
                <w:rFonts w:ascii="Arial" w:hAnsi="Arial" w:cs="Arial"/>
                <w:sz w:val="21"/>
                <w:szCs w:val="21"/>
              </w:rPr>
            </w:pPr>
            <w:r>
              <w:rPr>
                <w:rFonts w:ascii="Arial" w:hAnsi="Arial" w:cs="Arial"/>
                <w:sz w:val="21"/>
                <w:szCs w:val="21"/>
              </w:rPr>
              <w:t>1,450,369.45</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01063A" w:rsidRDefault="00467075" w:rsidP="000156D9">
            <w:pPr>
              <w:jc w:val="right"/>
              <w:rPr>
                <w:rFonts w:ascii="Arial" w:hAnsi="Arial" w:cs="Arial"/>
                <w:sz w:val="21"/>
                <w:szCs w:val="21"/>
              </w:rPr>
            </w:pPr>
            <w:r>
              <w:rPr>
                <w:rFonts w:ascii="Arial" w:hAnsi="Arial" w:cs="Arial"/>
                <w:b/>
                <w:sz w:val="21"/>
                <w:szCs w:val="21"/>
              </w:rPr>
              <w:t>16,727,638.79</w:t>
            </w:r>
          </w:p>
        </w:tc>
      </w:tr>
      <w:tr w:rsidR="0001063A" w:rsidRPr="004D11EC" w:rsidTr="00BD3E07">
        <w:tc>
          <w:tcPr>
            <w:tcW w:w="3510" w:type="dxa"/>
            <w:vAlign w:val="center"/>
          </w:tcPr>
          <w:p w:rsidR="0001063A" w:rsidRPr="003203B0" w:rsidRDefault="0001063A" w:rsidP="00BD3E07">
            <w:pPr>
              <w:jc w:val="right"/>
              <w:rPr>
                <w:rFonts w:ascii="Arial" w:hAnsi="Arial" w:cs="Arial"/>
                <w:b/>
                <w:sz w:val="21"/>
                <w:szCs w:val="21"/>
              </w:rPr>
            </w:pPr>
          </w:p>
        </w:tc>
        <w:tc>
          <w:tcPr>
            <w:tcW w:w="3118" w:type="dxa"/>
            <w:vAlign w:val="center"/>
          </w:tcPr>
          <w:p w:rsidR="0001063A" w:rsidRPr="000452AD" w:rsidRDefault="0001063A" w:rsidP="00947F2F">
            <w:pPr>
              <w:jc w:val="right"/>
              <w:rPr>
                <w:rFonts w:ascii="Arial" w:hAnsi="Arial" w:cs="Arial"/>
                <w:b/>
                <w:sz w:val="21"/>
                <w:szCs w:val="21"/>
              </w:rPr>
            </w:pPr>
          </w:p>
        </w:tc>
      </w:tr>
    </w:tbl>
    <w:p w:rsidR="003F224C" w:rsidRPr="003F224C" w:rsidRDefault="003F224C" w:rsidP="003F224C">
      <w:pPr>
        <w:pStyle w:val="Prrafodelista"/>
        <w:numPr>
          <w:ilvl w:val="0"/>
          <w:numId w:val="7"/>
        </w:numPr>
        <w:rPr>
          <w:rFonts w:ascii="Arial" w:hAnsi="Arial" w:cs="Arial"/>
          <w:sz w:val="21"/>
          <w:szCs w:val="21"/>
        </w:rPr>
      </w:pPr>
      <w:r>
        <w:rPr>
          <w:rFonts w:ascii="Arial" w:hAnsi="Arial" w:cs="Arial"/>
          <w:sz w:val="21"/>
          <w:szCs w:val="21"/>
        </w:rPr>
        <w:t>Otros gastos y Pérdidas Extraordinarias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Depreciaciones</w:t>
            </w:r>
          </w:p>
        </w:tc>
        <w:tc>
          <w:tcPr>
            <w:tcW w:w="3118" w:type="dxa"/>
            <w:vAlign w:val="center"/>
          </w:tcPr>
          <w:p w:rsidR="003F224C" w:rsidRPr="004D11EC" w:rsidRDefault="00467075" w:rsidP="000156D9">
            <w:pPr>
              <w:jc w:val="right"/>
              <w:rPr>
                <w:rFonts w:ascii="Arial" w:hAnsi="Arial" w:cs="Arial"/>
                <w:sz w:val="21"/>
                <w:szCs w:val="21"/>
              </w:rPr>
            </w:pPr>
            <w:r>
              <w:rPr>
                <w:rFonts w:ascii="Arial" w:hAnsi="Arial" w:cs="Arial"/>
                <w:sz w:val="21"/>
                <w:szCs w:val="21"/>
              </w:rPr>
              <w:t>516,383.39</w:t>
            </w:r>
          </w:p>
        </w:tc>
      </w:tr>
    </w:tbl>
    <w:p w:rsidR="00657677" w:rsidRPr="00044063" w:rsidRDefault="000C0A8F">
      <w:pPr>
        <w:rPr>
          <w:rFonts w:ascii="Arial" w:hAnsi="Arial" w:cs="Arial"/>
          <w:sz w:val="21"/>
          <w:szCs w:val="21"/>
        </w:rPr>
      </w:pPr>
      <w:r>
        <w:rPr>
          <w:rFonts w:ascii="Arial" w:hAnsi="Arial" w:cs="Arial"/>
          <w:sz w:val="21"/>
          <w:szCs w:val="21"/>
        </w:rPr>
        <w:t>El total de egresos generados en el periodo fue por $</w:t>
      </w:r>
      <w:r w:rsidR="00467075">
        <w:rPr>
          <w:rFonts w:ascii="Arial" w:hAnsi="Arial" w:cs="Arial"/>
          <w:sz w:val="21"/>
          <w:szCs w:val="21"/>
        </w:rPr>
        <w:t>17</w:t>
      </w:r>
      <w:proofErr w:type="gramStart"/>
      <w:r w:rsidR="00467075">
        <w:rPr>
          <w:rFonts w:ascii="Arial" w:hAnsi="Arial" w:cs="Arial"/>
          <w:sz w:val="21"/>
          <w:szCs w:val="21"/>
        </w:rPr>
        <w:t>,244,019.18</w:t>
      </w:r>
      <w:proofErr w:type="gramEnd"/>
      <w:r w:rsidR="004B41AD">
        <w:rPr>
          <w:rFonts w:ascii="Arial" w:hAnsi="Arial" w:cs="Arial"/>
          <w:sz w:val="21"/>
          <w:szCs w:val="21"/>
        </w:rPr>
        <w:t>.</w:t>
      </w:r>
    </w:p>
    <w:p w:rsidR="003F224C" w:rsidRDefault="000C0A8F" w:rsidP="000C0A8F">
      <w:pPr>
        <w:pStyle w:val="Prrafodelista"/>
        <w:numPr>
          <w:ilvl w:val="0"/>
          <w:numId w:val="1"/>
        </w:numPr>
        <w:rPr>
          <w:rFonts w:ascii="Arial" w:hAnsi="Arial" w:cs="Arial"/>
          <w:sz w:val="21"/>
          <w:szCs w:val="21"/>
        </w:rPr>
      </w:pPr>
      <w:r>
        <w:rPr>
          <w:rFonts w:ascii="Arial" w:hAnsi="Arial" w:cs="Arial"/>
          <w:sz w:val="21"/>
          <w:szCs w:val="21"/>
        </w:rPr>
        <w:lastRenderedPageBreak/>
        <w:t>Notas al Estado de Flujos de Efectivo</w:t>
      </w:r>
    </w:p>
    <w:p w:rsidR="000C0A8F" w:rsidRDefault="000C0A8F" w:rsidP="000C0A8F">
      <w:pPr>
        <w:rPr>
          <w:rFonts w:ascii="Arial" w:hAnsi="Arial" w:cs="Arial"/>
          <w:sz w:val="21"/>
          <w:szCs w:val="21"/>
        </w:rPr>
      </w:pPr>
      <w:r>
        <w:rPr>
          <w:rFonts w:ascii="Arial" w:hAnsi="Arial" w:cs="Arial"/>
          <w:sz w:val="21"/>
          <w:szCs w:val="21"/>
        </w:rPr>
        <w:t xml:space="preserve">Se refleja un </w:t>
      </w:r>
      <w:r w:rsidR="002E577C">
        <w:rPr>
          <w:rFonts w:ascii="Arial" w:hAnsi="Arial" w:cs="Arial"/>
          <w:sz w:val="21"/>
          <w:szCs w:val="21"/>
        </w:rPr>
        <w:t>in</w:t>
      </w:r>
      <w:r w:rsidR="00773A13">
        <w:rPr>
          <w:rFonts w:ascii="Arial" w:hAnsi="Arial" w:cs="Arial"/>
          <w:sz w:val="21"/>
          <w:szCs w:val="21"/>
        </w:rPr>
        <w:t>cre</w:t>
      </w:r>
      <w:r w:rsidR="00044063">
        <w:rPr>
          <w:rFonts w:ascii="Arial" w:hAnsi="Arial" w:cs="Arial"/>
          <w:sz w:val="21"/>
          <w:szCs w:val="21"/>
        </w:rPr>
        <w:t>mento</w:t>
      </w:r>
      <w:r>
        <w:rPr>
          <w:rFonts w:ascii="Arial" w:hAnsi="Arial" w:cs="Arial"/>
          <w:sz w:val="21"/>
          <w:szCs w:val="21"/>
        </w:rPr>
        <w:t xml:space="preserve"> net</w:t>
      </w:r>
      <w:r w:rsidR="00044063">
        <w:rPr>
          <w:rFonts w:ascii="Arial" w:hAnsi="Arial" w:cs="Arial"/>
          <w:sz w:val="21"/>
          <w:szCs w:val="21"/>
        </w:rPr>
        <w:t>o</w:t>
      </w:r>
      <w:r>
        <w:rPr>
          <w:rFonts w:ascii="Arial" w:hAnsi="Arial" w:cs="Arial"/>
          <w:sz w:val="21"/>
          <w:szCs w:val="21"/>
        </w:rPr>
        <w:t xml:space="preserve"> en el efectivo por $</w:t>
      </w:r>
      <w:r w:rsidR="00467F0D">
        <w:rPr>
          <w:rFonts w:ascii="Arial" w:hAnsi="Arial" w:cs="Arial"/>
          <w:sz w:val="21"/>
          <w:szCs w:val="21"/>
        </w:rPr>
        <w:t>1</w:t>
      </w:r>
      <w:proofErr w:type="gramStart"/>
      <w:r w:rsidR="00467F0D">
        <w:rPr>
          <w:rFonts w:ascii="Arial" w:hAnsi="Arial" w:cs="Arial"/>
          <w:sz w:val="21"/>
          <w:szCs w:val="21"/>
        </w:rPr>
        <w:t>,</w:t>
      </w:r>
      <w:r w:rsidR="002E577C">
        <w:rPr>
          <w:rFonts w:ascii="Arial" w:hAnsi="Arial" w:cs="Arial"/>
          <w:sz w:val="21"/>
          <w:szCs w:val="21"/>
        </w:rPr>
        <w:t>024,285.63</w:t>
      </w:r>
      <w:proofErr w:type="gramEnd"/>
      <w:r>
        <w:rPr>
          <w:rFonts w:ascii="Arial" w:hAnsi="Arial" w:cs="Arial"/>
          <w:sz w:val="21"/>
          <w:szCs w:val="21"/>
        </w:rPr>
        <w:t xml:space="preserve"> integrada principalmente por </w:t>
      </w:r>
      <w:r w:rsidR="00044063">
        <w:rPr>
          <w:rFonts w:ascii="Arial" w:hAnsi="Arial" w:cs="Arial"/>
          <w:sz w:val="21"/>
          <w:szCs w:val="21"/>
        </w:rPr>
        <w:t>l</w:t>
      </w:r>
      <w:r w:rsidR="00467F0D">
        <w:rPr>
          <w:rFonts w:ascii="Arial" w:hAnsi="Arial" w:cs="Arial"/>
          <w:sz w:val="21"/>
          <w:szCs w:val="21"/>
        </w:rPr>
        <w:t xml:space="preserve">as aplicaciones de efectivo en </w:t>
      </w:r>
      <w:r w:rsidR="00922B91">
        <w:rPr>
          <w:rFonts w:ascii="Arial" w:hAnsi="Arial" w:cs="Arial"/>
          <w:sz w:val="21"/>
          <w:szCs w:val="21"/>
        </w:rPr>
        <w:t>las siguientes cuentas</w:t>
      </w:r>
      <w:r w:rsidR="000529D5">
        <w:rPr>
          <w:rFonts w:ascii="Arial" w:hAnsi="Arial" w:cs="Arial"/>
          <w:sz w:val="21"/>
          <w:szCs w:val="21"/>
        </w:rPr>
        <w:t>:</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118"/>
      </w:tblGrid>
      <w:tr w:rsidR="000529D5" w:rsidRPr="00B31772" w:rsidTr="000529D5">
        <w:tc>
          <w:tcPr>
            <w:tcW w:w="3936" w:type="dxa"/>
            <w:vAlign w:val="center"/>
          </w:tcPr>
          <w:p w:rsidR="000529D5" w:rsidRPr="00B31772" w:rsidRDefault="000529D5"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0529D5" w:rsidRPr="00B31772" w:rsidRDefault="000529D5" w:rsidP="00BD3E07">
            <w:pPr>
              <w:jc w:val="center"/>
              <w:rPr>
                <w:rFonts w:ascii="Arial" w:hAnsi="Arial" w:cs="Arial"/>
                <w:b/>
                <w:sz w:val="21"/>
                <w:szCs w:val="21"/>
              </w:rPr>
            </w:pPr>
            <w:r w:rsidRPr="00B31772">
              <w:rPr>
                <w:rFonts w:ascii="Arial" w:hAnsi="Arial" w:cs="Arial"/>
                <w:b/>
                <w:sz w:val="21"/>
                <w:szCs w:val="21"/>
              </w:rPr>
              <w:t>Importe</w:t>
            </w:r>
          </w:p>
        </w:tc>
      </w:tr>
      <w:tr w:rsidR="000529D5" w:rsidRPr="004D11EC" w:rsidTr="000529D5">
        <w:tc>
          <w:tcPr>
            <w:tcW w:w="3936" w:type="dxa"/>
            <w:vAlign w:val="center"/>
          </w:tcPr>
          <w:p w:rsidR="000529D5" w:rsidRPr="004D11EC" w:rsidRDefault="000529D5" w:rsidP="00DD0CC0">
            <w:pPr>
              <w:jc w:val="left"/>
              <w:rPr>
                <w:rFonts w:ascii="Arial" w:hAnsi="Arial" w:cs="Arial"/>
                <w:sz w:val="21"/>
                <w:szCs w:val="21"/>
              </w:rPr>
            </w:pPr>
          </w:p>
        </w:tc>
        <w:tc>
          <w:tcPr>
            <w:tcW w:w="3118" w:type="dxa"/>
            <w:vAlign w:val="center"/>
          </w:tcPr>
          <w:p w:rsidR="000529D5" w:rsidRPr="004D11EC" w:rsidRDefault="000529D5" w:rsidP="004B41AD">
            <w:pPr>
              <w:jc w:val="right"/>
              <w:rPr>
                <w:rFonts w:ascii="Arial" w:hAnsi="Arial" w:cs="Arial"/>
                <w:sz w:val="21"/>
                <w:szCs w:val="21"/>
              </w:rPr>
            </w:pPr>
          </w:p>
        </w:tc>
      </w:tr>
      <w:tr w:rsidR="000529D5" w:rsidRPr="004D11EC" w:rsidTr="000529D5">
        <w:tc>
          <w:tcPr>
            <w:tcW w:w="3936" w:type="dxa"/>
            <w:vAlign w:val="center"/>
          </w:tcPr>
          <w:p w:rsidR="000529D5" w:rsidRPr="004D11EC" w:rsidRDefault="000C3E62" w:rsidP="005621B0">
            <w:pPr>
              <w:jc w:val="left"/>
              <w:rPr>
                <w:rFonts w:ascii="Arial" w:hAnsi="Arial" w:cs="Arial"/>
                <w:sz w:val="21"/>
                <w:szCs w:val="21"/>
              </w:rPr>
            </w:pPr>
            <w:r>
              <w:rPr>
                <w:rFonts w:ascii="Arial" w:hAnsi="Arial" w:cs="Arial"/>
                <w:sz w:val="21"/>
                <w:szCs w:val="21"/>
              </w:rPr>
              <w:t xml:space="preserve">Cuentas por </w:t>
            </w:r>
            <w:r w:rsidR="005621B0">
              <w:rPr>
                <w:rFonts w:ascii="Arial" w:hAnsi="Arial" w:cs="Arial"/>
                <w:sz w:val="21"/>
                <w:szCs w:val="21"/>
              </w:rPr>
              <w:t>Cobrar a</w:t>
            </w:r>
            <w:r>
              <w:rPr>
                <w:rFonts w:ascii="Arial" w:hAnsi="Arial" w:cs="Arial"/>
                <w:sz w:val="21"/>
                <w:szCs w:val="21"/>
              </w:rPr>
              <w:t xml:space="preserve"> Corto Plazo</w:t>
            </w:r>
          </w:p>
        </w:tc>
        <w:tc>
          <w:tcPr>
            <w:tcW w:w="3118" w:type="dxa"/>
            <w:vAlign w:val="center"/>
          </w:tcPr>
          <w:p w:rsidR="000529D5" w:rsidRPr="004D11EC" w:rsidRDefault="00467F0D" w:rsidP="00B7151A">
            <w:pPr>
              <w:jc w:val="right"/>
              <w:rPr>
                <w:rFonts w:ascii="Arial" w:hAnsi="Arial" w:cs="Arial"/>
                <w:sz w:val="21"/>
                <w:szCs w:val="21"/>
              </w:rPr>
            </w:pPr>
            <w:r>
              <w:rPr>
                <w:rFonts w:ascii="Arial" w:hAnsi="Arial" w:cs="Arial"/>
                <w:sz w:val="21"/>
                <w:szCs w:val="21"/>
              </w:rPr>
              <w:t>5,</w:t>
            </w:r>
            <w:r w:rsidR="00B7151A">
              <w:rPr>
                <w:rFonts w:ascii="Arial" w:hAnsi="Arial" w:cs="Arial"/>
                <w:sz w:val="21"/>
                <w:szCs w:val="21"/>
              </w:rPr>
              <w:t>612,250.82</w:t>
            </w:r>
          </w:p>
        </w:tc>
      </w:tr>
      <w:tr w:rsidR="004B41AD" w:rsidRPr="004D11EC" w:rsidTr="000529D5">
        <w:tc>
          <w:tcPr>
            <w:tcW w:w="3936" w:type="dxa"/>
            <w:vAlign w:val="center"/>
          </w:tcPr>
          <w:p w:rsidR="004B41AD" w:rsidRDefault="00467F0D" w:rsidP="00467F0D">
            <w:pPr>
              <w:jc w:val="left"/>
              <w:rPr>
                <w:rFonts w:ascii="Arial" w:hAnsi="Arial" w:cs="Arial"/>
                <w:sz w:val="21"/>
                <w:szCs w:val="21"/>
              </w:rPr>
            </w:pPr>
            <w:r>
              <w:rPr>
                <w:rFonts w:ascii="Arial" w:hAnsi="Arial" w:cs="Arial"/>
                <w:sz w:val="21"/>
                <w:szCs w:val="21"/>
              </w:rPr>
              <w:t>Proveedores por Pagar a Corto Plazo</w:t>
            </w:r>
          </w:p>
        </w:tc>
        <w:tc>
          <w:tcPr>
            <w:tcW w:w="3118" w:type="dxa"/>
            <w:vAlign w:val="center"/>
          </w:tcPr>
          <w:p w:rsidR="004B41AD" w:rsidRDefault="00B7151A" w:rsidP="00467F0D">
            <w:pPr>
              <w:jc w:val="right"/>
              <w:rPr>
                <w:rFonts w:ascii="Arial" w:hAnsi="Arial" w:cs="Arial"/>
                <w:sz w:val="21"/>
                <w:szCs w:val="21"/>
              </w:rPr>
            </w:pPr>
            <w:r>
              <w:rPr>
                <w:rFonts w:ascii="Arial" w:hAnsi="Arial" w:cs="Arial"/>
                <w:sz w:val="21"/>
                <w:szCs w:val="21"/>
              </w:rPr>
              <w:t>827,520.34</w:t>
            </w:r>
          </w:p>
        </w:tc>
      </w:tr>
    </w:tbl>
    <w:p w:rsidR="001C415F" w:rsidRDefault="001C415F" w:rsidP="000529D5">
      <w:pPr>
        <w:jc w:val="center"/>
        <w:rPr>
          <w:rFonts w:ascii="Arial" w:hAnsi="Arial" w:cs="Arial"/>
          <w:b/>
          <w:sz w:val="21"/>
          <w:szCs w:val="21"/>
        </w:rPr>
      </w:pPr>
    </w:p>
    <w:p w:rsidR="000529D5" w:rsidRPr="000529D5" w:rsidRDefault="000529D5" w:rsidP="000529D5">
      <w:pPr>
        <w:jc w:val="center"/>
        <w:rPr>
          <w:rFonts w:ascii="Arial" w:hAnsi="Arial" w:cs="Arial"/>
          <w:b/>
          <w:sz w:val="21"/>
          <w:szCs w:val="21"/>
        </w:rPr>
      </w:pPr>
      <w:r w:rsidRPr="000529D5">
        <w:rPr>
          <w:rFonts w:ascii="Arial" w:hAnsi="Arial" w:cs="Arial"/>
          <w:b/>
          <w:sz w:val="21"/>
          <w:szCs w:val="21"/>
        </w:rPr>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el almacén de materiales por $</w:t>
      </w:r>
      <w:r w:rsidR="000156D9">
        <w:rPr>
          <w:rFonts w:ascii="Arial" w:hAnsi="Arial" w:cs="Arial"/>
          <w:sz w:val="21"/>
          <w:szCs w:val="21"/>
        </w:rPr>
        <w:t>1</w:t>
      </w:r>
      <w:proofErr w:type="gramStart"/>
      <w:r w:rsidR="000156D9">
        <w:rPr>
          <w:rFonts w:ascii="Arial" w:hAnsi="Arial" w:cs="Arial"/>
          <w:sz w:val="21"/>
          <w:szCs w:val="21"/>
        </w:rPr>
        <w:t>,</w:t>
      </w:r>
      <w:r w:rsidR="00B7151A">
        <w:rPr>
          <w:rFonts w:ascii="Arial" w:hAnsi="Arial" w:cs="Arial"/>
          <w:sz w:val="21"/>
          <w:szCs w:val="21"/>
        </w:rPr>
        <w:t>035,265.08</w:t>
      </w:r>
      <w:proofErr w:type="gramEnd"/>
      <w:r>
        <w:rPr>
          <w:rFonts w:ascii="Arial" w:hAnsi="Arial" w:cs="Arial"/>
          <w:sz w:val="21"/>
          <w:szCs w:val="21"/>
        </w:rPr>
        <w:t xml:space="preserve"> al </w:t>
      </w:r>
      <w:r w:rsidR="00B7151A">
        <w:rPr>
          <w:rFonts w:ascii="Arial" w:hAnsi="Arial" w:cs="Arial"/>
          <w:sz w:val="21"/>
          <w:szCs w:val="21"/>
        </w:rPr>
        <w:t>31 de marzo</w:t>
      </w:r>
      <w:r>
        <w:rPr>
          <w:rFonts w:ascii="Arial" w:hAnsi="Arial" w:cs="Arial"/>
          <w:sz w:val="21"/>
          <w:szCs w:val="21"/>
        </w:rPr>
        <w:t xml:space="preserve"> de 201</w:t>
      </w:r>
      <w:r w:rsidR="007A23D3">
        <w:rPr>
          <w:rFonts w:ascii="Arial" w:hAnsi="Arial" w:cs="Arial"/>
          <w:sz w:val="21"/>
          <w:szCs w:val="21"/>
        </w:rPr>
        <w:t>5</w:t>
      </w:r>
      <w:r w:rsidR="00A13580">
        <w:rPr>
          <w:rFonts w:ascii="Arial" w:hAnsi="Arial" w:cs="Arial"/>
          <w:sz w:val="21"/>
          <w:szCs w:val="21"/>
        </w:rPr>
        <w:t>.</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Prrafodelista"/>
        <w:numPr>
          <w:ilvl w:val="0"/>
          <w:numId w:val="9"/>
        </w:numPr>
        <w:rPr>
          <w:rFonts w:ascii="Arial" w:hAnsi="Arial" w:cs="Arial"/>
          <w:sz w:val="21"/>
          <w:szCs w:val="21"/>
        </w:rPr>
      </w:pPr>
      <w:r>
        <w:rPr>
          <w:rFonts w:ascii="Arial" w:hAnsi="Arial" w:cs="Arial"/>
          <w:sz w:val="21"/>
          <w:szCs w:val="21"/>
        </w:rPr>
        <w:t>Ingresos</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118"/>
      </w:tblGrid>
      <w:tr w:rsidR="005F3231" w:rsidRPr="00B31772" w:rsidTr="00BD3E07">
        <w:tc>
          <w:tcPr>
            <w:tcW w:w="3936"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Importe</w:t>
            </w:r>
          </w:p>
        </w:tc>
      </w:tr>
      <w:tr w:rsidR="005F3231" w:rsidRPr="00E143A7" w:rsidTr="00BD3E07">
        <w:tc>
          <w:tcPr>
            <w:tcW w:w="3936" w:type="dxa"/>
            <w:vAlign w:val="center"/>
          </w:tcPr>
          <w:p w:rsidR="005F3231" w:rsidRPr="004D11EC" w:rsidRDefault="005F3231" w:rsidP="00BD3E07">
            <w:pPr>
              <w:jc w:val="left"/>
              <w:rPr>
                <w:rFonts w:ascii="Arial" w:hAnsi="Arial" w:cs="Arial"/>
                <w:sz w:val="21"/>
                <w:szCs w:val="21"/>
              </w:rPr>
            </w:pPr>
            <w:r>
              <w:rPr>
                <w:rFonts w:ascii="Arial" w:hAnsi="Arial" w:cs="Arial"/>
                <w:sz w:val="21"/>
                <w:szCs w:val="21"/>
              </w:rPr>
              <w:t>Ley de Ingresos Estimada</w:t>
            </w:r>
          </w:p>
        </w:tc>
        <w:tc>
          <w:tcPr>
            <w:tcW w:w="3118" w:type="dxa"/>
            <w:vAlign w:val="center"/>
          </w:tcPr>
          <w:p w:rsidR="005F3231" w:rsidRPr="007B794F" w:rsidRDefault="007A23D3" w:rsidP="007A23D3">
            <w:pPr>
              <w:jc w:val="right"/>
              <w:rPr>
                <w:rFonts w:ascii="Arial" w:hAnsi="Arial" w:cs="Arial"/>
                <w:sz w:val="21"/>
                <w:szCs w:val="21"/>
              </w:rPr>
            </w:pPr>
            <w:r>
              <w:rPr>
                <w:rFonts w:ascii="Arial" w:hAnsi="Arial" w:cs="Arial"/>
                <w:sz w:val="21"/>
                <w:szCs w:val="21"/>
              </w:rPr>
              <w:t>81</w:t>
            </w:r>
            <w:r w:rsidR="007B794F">
              <w:rPr>
                <w:rFonts w:ascii="Arial" w:hAnsi="Arial" w:cs="Arial"/>
                <w:sz w:val="21"/>
                <w:szCs w:val="21"/>
              </w:rPr>
              <w:t>,</w:t>
            </w:r>
            <w:r>
              <w:rPr>
                <w:rFonts w:ascii="Arial" w:hAnsi="Arial" w:cs="Arial"/>
                <w:sz w:val="21"/>
                <w:szCs w:val="21"/>
              </w:rPr>
              <w:t>512</w:t>
            </w:r>
            <w:r w:rsidR="007B794F">
              <w:rPr>
                <w:rFonts w:ascii="Arial" w:hAnsi="Arial" w:cs="Arial"/>
                <w:sz w:val="21"/>
                <w:szCs w:val="21"/>
              </w:rPr>
              <w:t>,</w:t>
            </w:r>
            <w:r>
              <w:rPr>
                <w:rFonts w:ascii="Arial" w:hAnsi="Arial" w:cs="Arial"/>
                <w:sz w:val="21"/>
                <w:szCs w:val="21"/>
              </w:rPr>
              <w:t>352</w:t>
            </w:r>
            <w:r w:rsidR="007B794F" w:rsidRPr="007B794F">
              <w:rPr>
                <w:rFonts w:ascii="Arial" w:hAnsi="Arial" w:cs="Arial"/>
                <w:sz w:val="21"/>
                <w:szCs w:val="21"/>
              </w:rPr>
              <w:t>.</w:t>
            </w:r>
            <w:r>
              <w:rPr>
                <w:rFonts w:ascii="Arial" w:hAnsi="Arial" w:cs="Arial"/>
                <w:sz w:val="21"/>
                <w:szCs w:val="21"/>
              </w:rPr>
              <w:t>00</w:t>
            </w:r>
          </w:p>
        </w:tc>
      </w:tr>
      <w:tr w:rsidR="007B794F" w:rsidRPr="002C4B20" w:rsidTr="00BF5C54">
        <w:tc>
          <w:tcPr>
            <w:tcW w:w="3936" w:type="dxa"/>
            <w:vAlign w:val="center"/>
          </w:tcPr>
          <w:p w:rsidR="007B794F" w:rsidRDefault="007B794F" w:rsidP="005F3231">
            <w:pPr>
              <w:jc w:val="left"/>
              <w:rPr>
                <w:rFonts w:ascii="Arial" w:hAnsi="Arial" w:cs="Arial"/>
                <w:sz w:val="21"/>
                <w:szCs w:val="21"/>
              </w:rPr>
            </w:pPr>
            <w:r>
              <w:rPr>
                <w:rFonts w:ascii="Arial" w:hAnsi="Arial" w:cs="Arial"/>
                <w:sz w:val="21"/>
                <w:szCs w:val="21"/>
              </w:rPr>
              <w:t>Ley de Ingresos por Ejecutar</w:t>
            </w:r>
          </w:p>
        </w:tc>
        <w:tc>
          <w:tcPr>
            <w:tcW w:w="3118" w:type="dxa"/>
            <w:vAlign w:val="bottom"/>
          </w:tcPr>
          <w:p w:rsidR="007B794F" w:rsidRPr="007B794F" w:rsidRDefault="00B7151A" w:rsidP="00B7151A">
            <w:pPr>
              <w:jc w:val="right"/>
              <w:rPr>
                <w:rFonts w:ascii="Arial" w:hAnsi="Arial" w:cs="Arial"/>
                <w:color w:val="000000"/>
                <w:sz w:val="21"/>
                <w:szCs w:val="21"/>
              </w:rPr>
            </w:pPr>
            <w:r>
              <w:rPr>
                <w:rFonts w:ascii="Arial" w:hAnsi="Arial" w:cs="Arial"/>
                <w:color w:val="000000"/>
                <w:sz w:val="21"/>
                <w:szCs w:val="21"/>
              </w:rPr>
              <w:t>65,371,127.88</w:t>
            </w:r>
            <w:r w:rsidR="007B794F" w:rsidRPr="007B794F">
              <w:rPr>
                <w:rFonts w:ascii="Arial" w:hAnsi="Arial" w:cs="Arial"/>
                <w:color w:val="000000"/>
                <w:sz w:val="21"/>
                <w:szCs w:val="21"/>
              </w:rPr>
              <w:t xml:space="preserve"> </w:t>
            </w:r>
          </w:p>
        </w:tc>
      </w:tr>
      <w:tr w:rsidR="005F3231" w:rsidRPr="002C4B20" w:rsidTr="00BD3E07">
        <w:tc>
          <w:tcPr>
            <w:tcW w:w="3936" w:type="dxa"/>
            <w:vAlign w:val="center"/>
          </w:tcPr>
          <w:p w:rsidR="005F3231" w:rsidRPr="004D11EC" w:rsidRDefault="005F3231" w:rsidP="00BD3E07">
            <w:pPr>
              <w:jc w:val="left"/>
              <w:rPr>
                <w:rFonts w:ascii="Arial" w:hAnsi="Arial" w:cs="Arial"/>
                <w:sz w:val="21"/>
                <w:szCs w:val="21"/>
              </w:rPr>
            </w:pPr>
            <w:r>
              <w:rPr>
                <w:rFonts w:ascii="Arial" w:hAnsi="Arial" w:cs="Arial"/>
                <w:sz w:val="21"/>
                <w:szCs w:val="21"/>
              </w:rPr>
              <w:t>Ley de Ingresos Recaudada</w:t>
            </w:r>
          </w:p>
        </w:tc>
        <w:tc>
          <w:tcPr>
            <w:tcW w:w="3118" w:type="dxa"/>
            <w:vAlign w:val="center"/>
          </w:tcPr>
          <w:p w:rsidR="005F3231" w:rsidRPr="007B794F" w:rsidRDefault="00B7151A" w:rsidP="00B7151A">
            <w:pPr>
              <w:jc w:val="right"/>
              <w:rPr>
                <w:rFonts w:ascii="Arial" w:hAnsi="Arial" w:cs="Arial"/>
                <w:sz w:val="21"/>
                <w:szCs w:val="21"/>
              </w:rPr>
            </w:pPr>
            <w:r>
              <w:rPr>
                <w:rFonts w:ascii="Arial" w:hAnsi="Arial" w:cs="Arial"/>
                <w:color w:val="000000"/>
                <w:sz w:val="21"/>
                <w:szCs w:val="21"/>
              </w:rPr>
              <w:t>15,971,578.14</w:t>
            </w:r>
            <w:r w:rsidR="007B794F" w:rsidRPr="007B794F">
              <w:rPr>
                <w:rFonts w:ascii="Arial" w:hAnsi="Arial" w:cs="Arial"/>
                <w:color w:val="000000"/>
                <w:sz w:val="21"/>
                <w:szCs w:val="21"/>
              </w:rPr>
              <w:t xml:space="preserve"> </w:t>
            </w:r>
          </w:p>
        </w:tc>
      </w:tr>
      <w:tr w:rsidR="00233983" w:rsidRPr="002C4B20" w:rsidTr="00BD3E07">
        <w:tc>
          <w:tcPr>
            <w:tcW w:w="3936" w:type="dxa"/>
            <w:vAlign w:val="center"/>
          </w:tcPr>
          <w:p w:rsidR="00233983" w:rsidRDefault="00233983" w:rsidP="00BD3E07">
            <w:pPr>
              <w:jc w:val="left"/>
              <w:rPr>
                <w:rFonts w:ascii="Arial" w:hAnsi="Arial" w:cs="Arial"/>
                <w:sz w:val="21"/>
                <w:szCs w:val="21"/>
              </w:rPr>
            </w:pPr>
            <w:r>
              <w:rPr>
                <w:rFonts w:ascii="Arial" w:hAnsi="Arial" w:cs="Arial"/>
                <w:sz w:val="21"/>
                <w:szCs w:val="21"/>
              </w:rPr>
              <w:t>Ley de Ingresos Devengada</w:t>
            </w:r>
          </w:p>
        </w:tc>
        <w:tc>
          <w:tcPr>
            <w:tcW w:w="3118" w:type="dxa"/>
            <w:vAlign w:val="center"/>
          </w:tcPr>
          <w:p w:rsidR="00233983" w:rsidRPr="007B794F" w:rsidRDefault="00B7151A" w:rsidP="00B7151A">
            <w:pPr>
              <w:jc w:val="right"/>
              <w:rPr>
                <w:rFonts w:ascii="Arial" w:hAnsi="Arial" w:cs="Arial"/>
                <w:sz w:val="21"/>
                <w:szCs w:val="21"/>
              </w:rPr>
            </w:pPr>
            <w:r>
              <w:rPr>
                <w:rFonts w:ascii="Arial" w:hAnsi="Arial" w:cs="Arial"/>
                <w:color w:val="000000"/>
                <w:sz w:val="21"/>
                <w:szCs w:val="21"/>
              </w:rPr>
              <w:t>169,645.98</w:t>
            </w:r>
          </w:p>
        </w:tc>
      </w:tr>
    </w:tbl>
    <w:p w:rsidR="00657677" w:rsidRPr="00BD3E07" w:rsidRDefault="005F3231" w:rsidP="005F3231">
      <w:pPr>
        <w:pStyle w:val="Prrafodelista"/>
        <w:numPr>
          <w:ilvl w:val="0"/>
          <w:numId w:val="9"/>
        </w:numPr>
        <w:rPr>
          <w:rFonts w:ascii="Arial" w:hAnsi="Arial" w:cs="Arial"/>
          <w:sz w:val="21"/>
          <w:szCs w:val="21"/>
        </w:rPr>
      </w:pPr>
      <w:r w:rsidRPr="00BD3E07">
        <w:rPr>
          <w:rFonts w:ascii="Arial" w:hAnsi="Arial" w:cs="Arial"/>
          <w:sz w:val="21"/>
          <w:szCs w:val="21"/>
        </w:rPr>
        <w:t>Egresos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118"/>
      </w:tblGrid>
      <w:tr w:rsidR="005F3231" w:rsidRPr="00B31772" w:rsidTr="00556471">
        <w:tc>
          <w:tcPr>
            <w:tcW w:w="5070"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5F3231" w:rsidRPr="00B31772" w:rsidRDefault="005F3231" w:rsidP="00BD3E07">
            <w:pPr>
              <w:jc w:val="center"/>
              <w:rPr>
                <w:rFonts w:ascii="Arial" w:hAnsi="Arial" w:cs="Arial"/>
                <w:b/>
                <w:sz w:val="21"/>
                <w:szCs w:val="21"/>
              </w:rPr>
            </w:pPr>
            <w:r w:rsidRPr="00B31772">
              <w:rPr>
                <w:rFonts w:ascii="Arial" w:hAnsi="Arial" w:cs="Arial"/>
                <w:b/>
                <w:sz w:val="21"/>
                <w:szCs w:val="21"/>
              </w:rPr>
              <w:t>Importe</w:t>
            </w:r>
          </w:p>
        </w:tc>
      </w:tr>
      <w:tr w:rsidR="007B794F" w:rsidRPr="00AE3245"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APROBADO</w:t>
            </w:r>
          </w:p>
        </w:tc>
        <w:tc>
          <w:tcPr>
            <w:tcW w:w="3118" w:type="dxa"/>
            <w:vAlign w:val="center"/>
          </w:tcPr>
          <w:p w:rsidR="007B794F" w:rsidRPr="00AE3245" w:rsidRDefault="007A23D3" w:rsidP="007A23D3">
            <w:pPr>
              <w:jc w:val="right"/>
              <w:rPr>
                <w:rFonts w:ascii="Arial" w:hAnsi="Arial" w:cs="Arial"/>
                <w:sz w:val="21"/>
                <w:szCs w:val="21"/>
              </w:rPr>
            </w:pPr>
            <w:r>
              <w:rPr>
                <w:rFonts w:ascii="Arial" w:hAnsi="Arial" w:cs="Arial"/>
                <w:color w:val="000000"/>
                <w:sz w:val="21"/>
                <w:szCs w:val="21"/>
              </w:rPr>
              <w:t>81</w:t>
            </w:r>
            <w:r w:rsidR="007B794F" w:rsidRPr="00AE3245">
              <w:rPr>
                <w:rFonts w:ascii="Arial" w:hAnsi="Arial" w:cs="Arial"/>
                <w:color w:val="000000"/>
                <w:sz w:val="21"/>
                <w:szCs w:val="21"/>
              </w:rPr>
              <w:t>,</w:t>
            </w:r>
            <w:r>
              <w:rPr>
                <w:rFonts w:ascii="Arial" w:hAnsi="Arial" w:cs="Arial"/>
                <w:color w:val="000000"/>
                <w:sz w:val="21"/>
                <w:szCs w:val="21"/>
              </w:rPr>
              <w:t>512</w:t>
            </w:r>
            <w:r w:rsidR="007B794F" w:rsidRPr="00AE3245">
              <w:rPr>
                <w:rFonts w:ascii="Arial" w:hAnsi="Arial" w:cs="Arial"/>
                <w:color w:val="000000"/>
                <w:sz w:val="21"/>
                <w:szCs w:val="21"/>
              </w:rPr>
              <w:t>,</w:t>
            </w:r>
            <w:r>
              <w:rPr>
                <w:rFonts w:ascii="Arial" w:hAnsi="Arial" w:cs="Arial"/>
                <w:color w:val="000000"/>
                <w:sz w:val="21"/>
                <w:szCs w:val="21"/>
              </w:rPr>
              <w:t>352</w:t>
            </w:r>
            <w:r w:rsidR="007B794F" w:rsidRPr="00AE3245">
              <w:rPr>
                <w:rFonts w:ascii="Arial" w:hAnsi="Arial" w:cs="Arial"/>
                <w:color w:val="000000"/>
                <w:sz w:val="21"/>
                <w:szCs w:val="21"/>
              </w:rPr>
              <w:t>.</w:t>
            </w:r>
            <w:r>
              <w:rPr>
                <w:rFonts w:ascii="Arial" w:hAnsi="Arial" w:cs="Arial"/>
                <w:color w:val="000000"/>
                <w:sz w:val="21"/>
                <w:szCs w:val="21"/>
              </w:rPr>
              <w:t>00</w:t>
            </w:r>
          </w:p>
        </w:tc>
      </w:tr>
      <w:tr w:rsidR="007B794F" w:rsidRPr="00AE3245"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Aprobado de Gasto</w:t>
            </w:r>
          </w:p>
        </w:tc>
        <w:tc>
          <w:tcPr>
            <w:tcW w:w="3118" w:type="dxa"/>
            <w:vAlign w:val="center"/>
          </w:tcPr>
          <w:p w:rsidR="007B794F" w:rsidRPr="00AE3245" w:rsidRDefault="007B794F" w:rsidP="007A23D3">
            <w:pPr>
              <w:jc w:val="right"/>
              <w:rPr>
                <w:rFonts w:ascii="Arial" w:hAnsi="Arial" w:cs="Arial"/>
                <w:sz w:val="21"/>
                <w:szCs w:val="21"/>
              </w:rPr>
            </w:pPr>
            <w:r w:rsidRPr="00AE3245">
              <w:rPr>
                <w:rFonts w:ascii="Arial" w:hAnsi="Arial" w:cs="Arial"/>
                <w:color w:val="000000"/>
                <w:sz w:val="21"/>
                <w:szCs w:val="21"/>
              </w:rPr>
              <w:t>8</w:t>
            </w:r>
            <w:r w:rsidR="007A23D3">
              <w:rPr>
                <w:rFonts w:ascii="Arial" w:hAnsi="Arial" w:cs="Arial"/>
                <w:color w:val="000000"/>
                <w:sz w:val="21"/>
                <w:szCs w:val="21"/>
              </w:rPr>
              <w:t>1</w:t>
            </w:r>
            <w:r w:rsidRPr="00AE3245">
              <w:rPr>
                <w:rFonts w:ascii="Arial" w:hAnsi="Arial" w:cs="Arial"/>
                <w:color w:val="000000"/>
                <w:sz w:val="21"/>
                <w:szCs w:val="21"/>
              </w:rPr>
              <w:t>,</w:t>
            </w:r>
            <w:r w:rsidR="007A23D3">
              <w:rPr>
                <w:rFonts w:ascii="Arial" w:hAnsi="Arial" w:cs="Arial"/>
                <w:color w:val="000000"/>
                <w:sz w:val="21"/>
                <w:szCs w:val="21"/>
              </w:rPr>
              <w:t>512</w:t>
            </w:r>
            <w:r w:rsidRPr="00AE3245">
              <w:rPr>
                <w:rFonts w:ascii="Arial" w:hAnsi="Arial" w:cs="Arial"/>
                <w:color w:val="000000"/>
                <w:sz w:val="21"/>
                <w:szCs w:val="21"/>
              </w:rPr>
              <w:t>,</w:t>
            </w:r>
            <w:r w:rsidR="007A23D3">
              <w:rPr>
                <w:rFonts w:ascii="Arial" w:hAnsi="Arial" w:cs="Arial"/>
                <w:color w:val="000000"/>
                <w:sz w:val="21"/>
                <w:szCs w:val="21"/>
              </w:rPr>
              <w:t>352</w:t>
            </w:r>
            <w:r w:rsidRPr="00AE3245">
              <w:rPr>
                <w:rFonts w:ascii="Arial" w:hAnsi="Arial" w:cs="Arial"/>
                <w:color w:val="000000"/>
                <w:sz w:val="21"/>
                <w:szCs w:val="21"/>
              </w:rPr>
              <w:t>.00</w:t>
            </w:r>
          </w:p>
        </w:tc>
      </w:tr>
      <w:tr w:rsidR="007B794F" w:rsidRPr="00AE3245"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Aprobado de Inter</w:t>
            </w:r>
          </w:p>
        </w:tc>
        <w:tc>
          <w:tcPr>
            <w:tcW w:w="3118" w:type="dxa"/>
            <w:vAlign w:val="center"/>
          </w:tcPr>
          <w:p w:rsidR="007B794F" w:rsidRPr="00AE3245" w:rsidRDefault="007A23D3" w:rsidP="007A23D3">
            <w:pPr>
              <w:jc w:val="right"/>
              <w:rPr>
                <w:rFonts w:ascii="Arial" w:hAnsi="Arial" w:cs="Arial"/>
                <w:sz w:val="21"/>
                <w:szCs w:val="21"/>
              </w:rPr>
            </w:pPr>
            <w:r>
              <w:rPr>
                <w:rFonts w:ascii="Arial" w:hAnsi="Arial" w:cs="Arial"/>
                <w:color w:val="000000"/>
                <w:sz w:val="21"/>
                <w:szCs w:val="21"/>
              </w:rPr>
              <w:t>0.00</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Aprobado de Biene</w:t>
            </w:r>
            <w:r>
              <w:rPr>
                <w:rFonts w:ascii="Arial" w:hAnsi="Arial" w:cs="Arial"/>
                <w:sz w:val="21"/>
                <w:szCs w:val="21"/>
              </w:rPr>
              <w:t>s</w:t>
            </w:r>
          </w:p>
        </w:tc>
        <w:tc>
          <w:tcPr>
            <w:tcW w:w="3118" w:type="dxa"/>
            <w:vAlign w:val="center"/>
          </w:tcPr>
          <w:p w:rsidR="007B794F" w:rsidRPr="00AE3245" w:rsidRDefault="007A23D3" w:rsidP="00AE3245">
            <w:pPr>
              <w:jc w:val="right"/>
              <w:rPr>
                <w:rFonts w:ascii="Arial" w:hAnsi="Arial" w:cs="Arial"/>
                <w:sz w:val="21"/>
                <w:szCs w:val="21"/>
              </w:rPr>
            </w:pPr>
            <w:r>
              <w:rPr>
                <w:rFonts w:ascii="Arial" w:hAnsi="Arial" w:cs="Arial"/>
                <w:color w:val="000000"/>
                <w:sz w:val="21"/>
                <w:szCs w:val="21"/>
              </w:rPr>
              <w:t>0</w:t>
            </w:r>
            <w:r w:rsidR="007B794F" w:rsidRPr="00AE3245">
              <w:rPr>
                <w:rFonts w:ascii="Arial" w:hAnsi="Arial" w:cs="Arial"/>
                <w:color w:val="000000"/>
                <w:sz w:val="21"/>
                <w:szCs w:val="21"/>
              </w:rPr>
              <w:t>.00</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POR EJERCER</w:t>
            </w:r>
          </w:p>
        </w:tc>
        <w:tc>
          <w:tcPr>
            <w:tcW w:w="3118" w:type="dxa"/>
            <w:vAlign w:val="center"/>
          </w:tcPr>
          <w:p w:rsidR="007B794F" w:rsidRPr="00AE3245" w:rsidRDefault="00B7151A" w:rsidP="00B7151A">
            <w:pPr>
              <w:jc w:val="right"/>
              <w:rPr>
                <w:rFonts w:ascii="Arial" w:hAnsi="Arial" w:cs="Arial"/>
                <w:sz w:val="21"/>
                <w:szCs w:val="21"/>
              </w:rPr>
            </w:pPr>
            <w:r>
              <w:rPr>
                <w:rFonts w:ascii="Arial" w:hAnsi="Arial" w:cs="Arial"/>
                <w:color w:val="000000"/>
                <w:sz w:val="21"/>
                <w:szCs w:val="21"/>
              </w:rPr>
              <w:t>64,814,444.74</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 Egresos por Ejercer de G. Corriente</w:t>
            </w:r>
          </w:p>
        </w:tc>
        <w:tc>
          <w:tcPr>
            <w:tcW w:w="3118" w:type="dxa"/>
            <w:vAlign w:val="center"/>
          </w:tcPr>
          <w:p w:rsidR="007B794F" w:rsidRPr="00AE3245" w:rsidRDefault="00B7151A" w:rsidP="000156D9">
            <w:pPr>
              <w:jc w:val="right"/>
              <w:rPr>
                <w:rFonts w:ascii="Arial" w:hAnsi="Arial" w:cs="Arial"/>
                <w:sz w:val="21"/>
                <w:szCs w:val="21"/>
              </w:rPr>
            </w:pPr>
            <w:r>
              <w:rPr>
                <w:rFonts w:ascii="Arial" w:hAnsi="Arial" w:cs="Arial"/>
                <w:color w:val="000000"/>
                <w:sz w:val="21"/>
                <w:szCs w:val="21"/>
              </w:rPr>
              <w:t>64,814,444.74</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por Ejercer de In</w:t>
            </w:r>
          </w:p>
        </w:tc>
        <w:tc>
          <w:tcPr>
            <w:tcW w:w="3118" w:type="dxa"/>
            <w:vAlign w:val="center"/>
          </w:tcPr>
          <w:p w:rsidR="007B794F" w:rsidRPr="00AE3245" w:rsidRDefault="00AE3245" w:rsidP="00AE3245">
            <w:pPr>
              <w:jc w:val="right"/>
              <w:rPr>
                <w:rFonts w:ascii="Arial" w:hAnsi="Arial" w:cs="Arial"/>
                <w:sz w:val="21"/>
                <w:szCs w:val="21"/>
              </w:rPr>
            </w:pPr>
            <w:r w:rsidRPr="00AE3245">
              <w:rPr>
                <w:rFonts w:ascii="Arial" w:hAnsi="Arial" w:cs="Arial"/>
                <w:color w:val="000000"/>
                <w:sz w:val="21"/>
                <w:szCs w:val="21"/>
              </w:rPr>
              <w:t>0.00</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 de Egresos por Ejercer de B. Muebles</w:t>
            </w:r>
          </w:p>
        </w:tc>
        <w:tc>
          <w:tcPr>
            <w:tcW w:w="3118" w:type="dxa"/>
            <w:vAlign w:val="center"/>
          </w:tcPr>
          <w:p w:rsidR="007B794F" w:rsidRPr="00AE3245" w:rsidRDefault="007A23D3" w:rsidP="007A23D3">
            <w:pPr>
              <w:jc w:val="right"/>
              <w:rPr>
                <w:rFonts w:ascii="Arial" w:hAnsi="Arial" w:cs="Arial"/>
                <w:sz w:val="21"/>
                <w:szCs w:val="21"/>
              </w:rPr>
            </w:pPr>
            <w:r>
              <w:rPr>
                <w:rFonts w:ascii="Arial" w:hAnsi="Arial" w:cs="Arial"/>
                <w:color w:val="000000"/>
                <w:sz w:val="21"/>
                <w:szCs w:val="21"/>
              </w:rPr>
              <w:t>0</w:t>
            </w:r>
            <w:r w:rsidR="00AE3245" w:rsidRPr="00AE3245">
              <w:rPr>
                <w:rFonts w:ascii="Arial" w:hAnsi="Arial" w:cs="Arial"/>
                <w:color w:val="000000"/>
                <w:sz w:val="21"/>
                <w:szCs w:val="21"/>
              </w:rPr>
              <w:t>.</w:t>
            </w:r>
            <w:r>
              <w:rPr>
                <w:rFonts w:ascii="Arial" w:hAnsi="Arial" w:cs="Arial"/>
                <w:color w:val="000000"/>
                <w:sz w:val="21"/>
                <w:szCs w:val="21"/>
              </w:rPr>
              <w:t>00</w:t>
            </w:r>
          </w:p>
        </w:tc>
      </w:tr>
      <w:tr w:rsidR="007B794F" w:rsidRPr="004D11EC" w:rsidTr="00BF5C54">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COMPROMETIDO</w:t>
            </w:r>
          </w:p>
        </w:tc>
        <w:tc>
          <w:tcPr>
            <w:tcW w:w="3118" w:type="dxa"/>
            <w:vAlign w:val="center"/>
          </w:tcPr>
          <w:p w:rsidR="007B794F" w:rsidRPr="00AE3245" w:rsidRDefault="00AE3245" w:rsidP="007A23D3">
            <w:pPr>
              <w:jc w:val="right"/>
              <w:rPr>
                <w:rFonts w:ascii="Arial" w:hAnsi="Arial" w:cs="Arial"/>
                <w:sz w:val="21"/>
                <w:szCs w:val="21"/>
              </w:rPr>
            </w:pPr>
            <w:r w:rsidRPr="00AE3245">
              <w:rPr>
                <w:rFonts w:ascii="Arial" w:hAnsi="Arial" w:cs="Arial"/>
                <w:sz w:val="21"/>
                <w:szCs w:val="21"/>
              </w:rPr>
              <w:t>0.</w:t>
            </w:r>
            <w:r w:rsidR="007A23D3">
              <w:rPr>
                <w:rFonts w:ascii="Arial" w:hAnsi="Arial" w:cs="Arial"/>
                <w:sz w:val="21"/>
                <w:szCs w:val="21"/>
              </w:rPr>
              <w:t>0</w:t>
            </w:r>
            <w:r w:rsidRPr="00AE3245">
              <w:rPr>
                <w:rFonts w:ascii="Arial" w:hAnsi="Arial" w:cs="Arial"/>
                <w:sz w:val="21"/>
                <w:szCs w:val="21"/>
              </w:rPr>
              <w:t>0</w:t>
            </w:r>
          </w:p>
        </w:tc>
      </w:tr>
      <w:tr w:rsidR="007B794F" w:rsidRPr="004D11EC" w:rsidTr="00BD3E07">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DEVENGADO</w:t>
            </w:r>
          </w:p>
        </w:tc>
        <w:tc>
          <w:tcPr>
            <w:tcW w:w="3118" w:type="dxa"/>
            <w:vAlign w:val="center"/>
          </w:tcPr>
          <w:p w:rsidR="007B794F" w:rsidRPr="00AE3245" w:rsidRDefault="00B7151A" w:rsidP="000156D9">
            <w:pPr>
              <w:jc w:val="right"/>
              <w:rPr>
                <w:rFonts w:ascii="Arial" w:hAnsi="Arial" w:cs="Arial"/>
                <w:sz w:val="21"/>
                <w:szCs w:val="21"/>
              </w:rPr>
            </w:pPr>
            <w:r>
              <w:rPr>
                <w:rFonts w:ascii="Arial" w:hAnsi="Arial" w:cs="Arial"/>
                <w:color w:val="000000"/>
                <w:sz w:val="21"/>
                <w:szCs w:val="21"/>
              </w:rPr>
              <w:t>157,314.12</w:t>
            </w:r>
          </w:p>
        </w:tc>
      </w:tr>
      <w:tr w:rsidR="007B794F" w:rsidRPr="004D11EC" w:rsidTr="00BD3E07">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 de Egresos Devengado de G. Corriente</w:t>
            </w:r>
          </w:p>
        </w:tc>
        <w:tc>
          <w:tcPr>
            <w:tcW w:w="3118" w:type="dxa"/>
            <w:vAlign w:val="center"/>
          </w:tcPr>
          <w:p w:rsidR="007B794F" w:rsidRPr="00AE3245" w:rsidRDefault="00B7151A" w:rsidP="000156D9">
            <w:pPr>
              <w:jc w:val="right"/>
              <w:rPr>
                <w:rFonts w:ascii="Arial" w:hAnsi="Arial" w:cs="Arial"/>
                <w:sz w:val="21"/>
                <w:szCs w:val="21"/>
              </w:rPr>
            </w:pPr>
            <w:r>
              <w:rPr>
                <w:rFonts w:ascii="Arial" w:hAnsi="Arial" w:cs="Arial"/>
                <w:color w:val="000000"/>
                <w:sz w:val="21"/>
                <w:szCs w:val="21"/>
              </w:rPr>
              <w:t>157,314.12</w:t>
            </w:r>
          </w:p>
        </w:tc>
      </w:tr>
      <w:tr w:rsidR="007B794F" w:rsidRPr="004D11EC" w:rsidTr="00BD3E07">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t>Presupuesto de Egresos Devengado de Bien</w:t>
            </w:r>
          </w:p>
        </w:tc>
        <w:tc>
          <w:tcPr>
            <w:tcW w:w="3118" w:type="dxa"/>
            <w:vAlign w:val="center"/>
          </w:tcPr>
          <w:p w:rsidR="007B794F" w:rsidRPr="00AE3245" w:rsidRDefault="00AE3245" w:rsidP="007A23D3">
            <w:pPr>
              <w:jc w:val="right"/>
              <w:rPr>
                <w:rFonts w:ascii="Arial" w:hAnsi="Arial" w:cs="Arial"/>
                <w:sz w:val="21"/>
                <w:szCs w:val="21"/>
              </w:rPr>
            </w:pPr>
            <w:r w:rsidRPr="00AE3245">
              <w:rPr>
                <w:rFonts w:ascii="Arial" w:hAnsi="Arial" w:cs="Arial"/>
                <w:color w:val="000000"/>
                <w:sz w:val="21"/>
                <w:szCs w:val="21"/>
              </w:rPr>
              <w:t xml:space="preserve"> </w:t>
            </w:r>
            <w:r w:rsidR="007A23D3">
              <w:rPr>
                <w:rFonts w:ascii="Arial" w:hAnsi="Arial" w:cs="Arial"/>
                <w:color w:val="000000"/>
                <w:sz w:val="21"/>
                <w:szCs w:val="21"/>
              </w:rPr>
              <w:t>0</w:t>
            </w:r>
            <w:r w:rsidRPr="00AE3245">
              <w:rPr>
                <w:rFonts w:ascii="Arial" w:hAnsi="Arial" w:cs="Arial"/>
                <w:color w:val="000000"/>
                <w:sz w:val="21"/>
                <w:szCs w:val="21"/>
              </w:rPr>
              <w:t>.</w:t>
            </w:r>
            <w:r w:rsidR="007A23D3">
              <w:rPr>
                <w:rFonts w:ascii="Arial" w:hAnsi="Arial" w:cs="Arial"/>
                <w:color w:val="000000"/>
                <w:sz w:val="21"/>
                <w:szCs w:val="21"/>
              </w:rPr>
              <w:t>00</w:t>
            </w:r>
          </w:p>
        </w:tc>
      </w:tr>
      <w:tr w:rsidR="007B794F" w:rsidRPr="004D11EC" w:rsidTr="00BD3E07">
        <w:tc>
          <w:tcPr>
            <w:tcW w:w="5070" w:type="dxa"/>
          </w:tcPr>
          <w:p w:rsidR="007B794F" w:rsidRPr="007B794F" w:rsidRDefault="007B794F" w:rsidP="00BF5C54">
            <w:pPr>
              <w:rPr>
                <w:rFonts w:ascii="Arial" w:hAnsi="Arial" w:cs="Arial"/>
                <w:sz w:val="21"/>
                <w:szCs w:val="21"/>
              </w:rPr>
            </w:pPr>
            <w:r w:rsidRPr="007B794F">
              <w:rPr>
                <w:rFonts w:ascii="Arial" w:hAnsi="Arial" w:cs="Arial"/>
                <w:sz w:val="21"/>
                <w:szCs w:val="21"/>
              </w:rPr>
              <w:lastRenderedPageBreak/>
              <w:t>PRESUPUESTO DE EGRESOS PAGADO</w:t>
            </w:r>
          </w:p>
        </w:tc>
        <w:tc>
          <w:tcPr>
            <w:tcW w:w="3118" w:type="dxa"/>
            <w:vAlign w:val="center"/>
          </w:tcPr>
          <w:p w:rsidR="007B794F" w:rsidRPr="00AE3245" w:rsidRDefault="00B7151A" w:rsidP="000156D9">
            <w:pPr>
              <w:jc w:val="right"/>
              <w:rPr>
                <w:rFonts w:ascii="Arial" w:hAnsi="Arial" w:cs="Arial"/>
                <w:sz w:val="21"/>
                <w:szCs w:val="21"/>
              </w:rPr>
            </w:pPr>
            <w:r>
              <w:rPr>
                <w:rFonts w:ascii="Arial" w:hAnsi="Arial" w:cs="Arial"/>
                <w:color w:val="000000"/>
                <w:sz w:val="21"/>
                <w:szCs w:val="21"/>
              </w:rPr>
              <w:t>16,540,593.14</w:t>
            </w:r>
          </w:p>
        </w:tc>
      </w:tr>
      <w:tr w:rsidR="00B7151A" w:rsidRPr="004D11EC" w:rsidTr="00BD3E07">
        <w:tc>
          <w:tcPr>
            <w:tcW w:w="5070" w:type="dxa"/>
          </w:tcPr>
          <w:p w:rsidR="00B7151A" w:rsidRPr="007B794F" w:rsidRDefault="00B7151A" w:rsidP="00BF5C54">
            <w:pPr>
              <w:rPr>
                <w:rFonts w:ascii="Arial" w:hAnsi="Arial" w:cs="Arial"/>
                <w:sz w:val="21"/>
                <w:szCs w:val="21"/>
              </w:rPr>
            </w:pPr>
            <w:r w:rsidRPr="007B794F">
              <w:rPr>
                <w:rFonts w:ascii="Arial" w:hAnsi="Arial" w:cs="Arial"/>
                <w:sz w:val="21"/>
                <w:szCs w:val="21"/>
              </w:rPr>
              <w:t xml:space="preserve">Presupuesto de Egresos Pagado de Gastos </w:t>
            </w:r>
          </w:p>
        </w:tc>
        <w:tc>
          <w:tcPr>
            <w:tcW w:w="3118" w:type="dxa"/>
            <w:vAlign w:val="center"/>
          </w:tcPr>
          <w:p w:rsidR="00B7151A" w:rsidRPr="00AE3245" w:rsidRDefault="00B7151A" w:rsidP="000F2105">
            <w:pPr>
              <w:jc w:val="right"/>
              <w:rPr>
                <w:rFonts w:ascii="Arial" w:hAnsi="Arial" w:cs="Arial"/>
                <w:sz w:val="21"/>
                <w:szCs w:val="21"/>
              </w:rPr>
            </w:pPr>
            <w:r>
              <w:rPr>
                <w:rFonts w:ascii="Arial" w:hAnsi="Arial" w:cs="Arial"/>
                <w:color w:val="000000"/>
                <w:sz w:val="21"/>
                <w:szCs w:val="21"/>
              </w:rPr>
              <w:t>16,540,593.14</w:t>
            </w:r>
          </w:p>
        </w:tc>
      </w:tr>
      <w:tr w:rsidR="00B7151A" w:rsidRPr="004D11EC" w:rsidTr="00BD3E07">
        <w:tc>
          <w:tcPr>
            <w:tcW w:w="5070" w:type="dxa"/>
          </w:tcPr>
          <w:p w:rsidR="00B7151A" w:rsidRPr="007B794F" w:rsidRDefault="00B7151A" w:rsidP="00BF5C54">
            <w:pPr>
              <w:rPr>
                <w:rFonts w:ascii="Arial" w:hAnsi="Arial" w:cs="Arial"/>
                <w:sz w:val="21"/>
                <w:szCs w:val="21"/>
              </w:rPr>
            </w:pPr>
            <w:r w:rsidRPr="007B794F">
              <w:rPr>
                <w:rFonts w:ascii="Arial" w:hAnsi="Arial" w:cs="Arial"/>
                <w:sz w:val="21"/>
                <w:szCs w:val="21"/>
              </w:rPr>
              <w:t>Presupuesto de Egresos Pagado de Interes</w:t>
            </w:r>
            <w:r>
              <w:rPr>
                <w:rFonts w:ascii="Arial" w:hAnsi="Arial" w:cs="Arial"/>
                <w:sz w:val="21"/>
                <w:szCs w:val="21"/>
              </w:rPr>
              <w:t>es</w:t>
            </w:r>
          </w:p>
        </w:tc>
        <w:tc>
          <w:tcPr>
            <w:tcW w:w="3118" w:type="dxa"/>
            <w:vAlign w:val="center"/>
          </w:tcPr>
          <w:p w:rsidR="00B7151A" w:rsidRPr="00AE3245" w:rsidRDefault="00B7151A" w:rsidP="00FB6F67">
            <w:pPr>
              <w:jc w:val="right"/>
              <w:rPr>
                <w:rFonts w:ascii="Arial" w:hAnsi="Arial" w:cs="Arial"/>
                <w:sz w:val="21"/>
                <w:szCs w:val="21"/>
              </w:rPr>
            </w:pPr>
            <w:r>
              <w:rPr>
                <w:rFonts w:ascii="Arial" w:hAnsi="Arial" w:cs="Arial"/>
                <w:color w:val="000000"/>
                <w:sz w:val="21"/>
                <w:szCs w:val="21"/>
              </w:rPr>
              <w:t>0</w:t>
            </w:r>
            <w:r w:rsidRPr="00AE3245">
              <w:rPr>
                <w:rFonts w:ascii="Arial" w:hAnsi="Arial" w:cs="Arial"/>
                <w:color w:val="000000"/>
                <w:sz w:val="21"/>
                <w:szCs w:val="21"/>
              </w:rPr>
              <w:t>.</w:t>
            </w:r>
            <w:r>
              <w:rPr>
                <w:rFonts w:ascii="Arial" w:hAnsi="Arial" w:cs="Arial"/>
                <w:color w:val="000000"/>
                <w:sz w:val="21"/>
                <w:szCs w:val="21"/>
              </w:rPr>
              <w:t>00</w:t>
            </w:r>
          </w:p>
        </w:tc>
      </w:tr>
      <w:tr w:rsidR="00B7151A" w:rsidRPr="004D11EC" w:rsidTr="00BD3E07">
        <w:tc>
          <w:tcPr>
            <w:tcW w:w="5070" w:type="dxa"/>
          </w:tcPr>
          <w:p w:rsidR="00B7151A" w:rsidRPr="007B794F" w:rsidRDefault="00B7151A" w:rsidP="00BF5C54">
            <w:pPr>
              <w:rPr>
                <w:rFonts w:ascii="Arial" w:hAnsi="Arial" w:cs="Arial"/>
                <w:sz w:val="21"/>
                <w:szCs w:val="21"/>
              </w:rPr>
            </w:pPr>
            <w:r w:rsidRPr="007B794F">
              <w:rPr>
                <w:rFonts w:ascii="Arial" w:hAnsi="Arial" w:cs="Arial"/>
                <w:sz w:val="21"/>
                <w:szCs w:val="21"/>
              </w:rPr>
              <w:t xml:space="preserve">Presupuesto de Egresos Pagado de Bienes </w:t>
            </w:r>
          </w:p>
        </w:tc>
        <w:tc>
          <w:tcPr>
            <w:tcW w:w="3118" w:type="dxa"/>
            <w:vAlign w:val="center"/>
          </w:tcPr>
          <w:p w:rsidR="00B7151A" w:rsidRPr="00AE3245" w:rsidRDefault="00B7151A" w:rsidP="00FB6F67">
            <w:pPr>
              <w:jc w:val="right"/>
              <w:rPr>
                <w:rFonts w:ascii="Arial" w:hAnsi="Arial" w:cs="Arial"/>
                <w:sz w:val="21"/>
                <w:szCs w:val="21"/>
              </w:rPr>
            </w:pPr>
            <w:r>
              <w:rPr>
                <w:rFonts w:ascii="Arial" w:hAnsi="Arial" w:cs="Arial"/>
                <w:color w:val="000000"/>
                <w:sz w:val="21"/>
                <w:szCs w:val="21"/>
              </w:rPr>
              <w:t>0</w:t>
            </w:r>
            <w:r w:rsidRPr="00AE3245">
              <w:rPr>
                <w:rFonts w:ascii="Arial" w:hAnsi="Arial" w:cs="Arial"/>
                <w:color w:val="000000"/>
                <w:sz w:val="21"/>
                <w:szCs w:val="21"/>
              </w:rPr>
              <w:t>.0</w:t>
            </w:r>
            <w:r>
              <w:rPr>
                <w:rFonts w:ascii="Arial" w:hAnsi="Arial" w:cs="Arial"/>
                <w:color w:val="000000"/>
                <w:sz w:val="21"/>
                <w:szCs w:val="21"/>
              </w:rPr>
              <w:t>0</w:t>
            </w:r>
          </w:p>
        </w:tc>
      </w:tr>
    </w:tbl>
    <w:p w:rsidR="005F3231" w:rsidRDefault="005F3231" w:rsidP="005F3231">
      <w:pPr>
        <w:rPr>
          <w:rFonts w:ascii="Arial" w:hAnsi="Arial" w:cs="Arial"/>
          <w:sz w:val="21"/>
          <w:szCs w:val="21"/>
        </w:rPr>
      </w:pPr>
    </w:p>
    <w:p w:rsidR="00AC6B64" w:rsidRPr="005F3231" w:rsidRDefault="00AC6B64" w:rsidP="005F3231">
      <w:pPr>
        <w:rPr>
          <w:rFonts w:ascii="Arial" w:hAnsi="Arial" w:cs="Arial"/>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B7151A">
        <w:rPr>
          <w:rFonts w:ascii="Arial" w:hAnsi="Arial" w:cs="Arial"/>
          <w:sz w:val="21"/>
          <w:szCs w:val="21"/>
        </w:rPr>
        <w:t>31</w:t>
      </w:r>
      <w:r>
        <w:rPr>
          <w:rFonts w:ascii="Arial" w:hAnsi="Arial" w:cs="Arial"/>
          <w:sz w:val="21"/>
          <w:szCs w:val="21"/>
        </w:rPr>
        <w:t xml:space="preserve"> de </w:t>
      </w:r>
      <w:r w:rsidR="00B7151A">
        <w:rPr>
          <w:rFonts w:ascii="Arial" w:hAnsi="Arial" w:cs="Arial"/>
          <w:sz w:val="21"/>
          <w:szCs w:val="21"/>
        </w:rPr>
        <w:t>marzo</w:t>
      </w:r>
      <w:r w:rsidR="000156D9">
        <w:rPr>
          <w:rFonts w:ascii="Arial" w:hAnsi="Arial" w:cs="Arial"/>
          <w:sz w:val="21"/>
          <w:szCs w:val="21"/>
        </w:rPr>
        <w:t xml:space="preserve"> </w:t>
      </w:r>
      <w:r w:rsidR="00AC6B64">
        <w:rPr>
          <w:rFonts w:ascii="Arial" w:hAnsi="Arial" w:cs="Arial"/>
          <w:sz w:val="21"/>
          <w:szCs w:val="21"/>
        </w:rPr>
        <w:t>de 2015</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AE3245" w:rsidRPr="003A5CE0"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lastRenderedPageBreak/>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r a cabo los levantamientos aer</w:t>
      </w:r>
      <w:r w:rsidRPr="003A5CE0">
        <w:rPr>
          <w:rFonts w:ascii="Arial" w:hAnsi="Arial" w:cs="Arial"/>
          <w:sz w:val="21"/>
          <w:szCs w:val="21"/>
        </w:rPr>
        <w:t>ofotográficos,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las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lastRenderedPageBreak/>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Remanentes, frutos, utilidades e intereses de inversiones;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derechos que su favor se generen como titular de derechos de autor.</w:t>
      </w: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a </w:t>
      </w:r>
      <w:proofErr w:type="spellStart"/>
      <w:r w:rsidRPr="008E0B10">
        <w:rPr>
          <w:rFonts w:ascii="Arial" w:hAnsi="Arial" w:cs="Arial"/>
          <w:sz w:val="21"/>
          <w:szCs w:val="21"/>
        </w:rPr>
        <w:t>a</w:t>
      </w:r>
      <w:proofErr w:type="spellEnd"/>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2011.</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Los postulados sustentan de manera técnica el registro de las operaciones, la elaboración y presentación de los estados financieros; basados en su razonamiento, eficiencia demostrada, respaldo en legislación especializada y aplicación de la Ley General de Contabilidad </w:t>
      </w:r>
      <w:r w:rsidRPr="0042374C">
        <w:rPr>
          <w:rFonts w:ascii="Arial" w:hAnsi="Arial" w:cs="Arial"/>
          <w:sz w:val="21"/>
          <w:szCs w:val="21"/>
        </w:rPr>
        <w:lastRenderedPageBreak/>
        <w:t>Gubernamental, con la finalidad de uniformar los métodos, procedimientos y prácticas contables.</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Las cifras presentadas al </w:t>
      </w:r>
      <w:r w:rsidR="000F347D">
        <w:rPr>
          <w:rFonts w:ascii="Arial" w:hAnsi="Arial" w:cs="Arial"/>
          <w:sz w:val="21"/>
          <w:szCs w:val="21"/>
        </w:rPr>
        <w:t>28</w:t>
      </w:r>
      <w:r w:rsidRPr="0042374C">
        <w:rPr>
          <w:rFonts w:ascii="Arial" w:hAnsi="Arial" w:cs="Arial"/>
          <w:sz w:val="21"/>
          <w:szCs w:val="21"/>
        </w:rPr>
        <w:t xml:space="preserve"> de </w:t>
      </w:r>
      <w:r w:rsidR="000F347D">
        <w:rPr>
          <w:rFonts w:ascii="Arial" w:hAnsi="Arial" w:cs="Arial"/>
          <w:sz w:val="21"/>
          <w:szCs w:val="21"/>
        </w:rPr>
        <w:t>febrero de 2015</w:t>
      </w:r>
      <w:r w:rsidRPr="0042374C">
        <w:rPr>
          <w:rFonts w:ascii="Arial" w:hAnsi="Arial" w:cs="Arial"/>
          <w:sz w:val="21"/>
          <w:szCs w:val="21"/>
        </w:rPr>
        <w:t xml:space="preserve"> se rigen bajo los Principios de Contabilidad Gubernamental emitidos en el Manual Único de Contabilidad Gubernamental para las Dependencias y Entidades Públicas del Gobierno y Municipios del Estado de México para dicho ejercicio.</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Reconocimiento de los Efectos de la Inflación en la Información Financiera.</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principios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P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Prrafodelista"/>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lastRenderedPageBreak/>
        <w:t>Cuentas y Documentos por Cobrar</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w:t>
      </w:r>
      <w:smartTag w:uri="urn:schemas-microsoft-com:office:smarttags" w:element="PersonName">
        <w:smartTagPr>
          <w:attr w:name="ProductID" w:val="la Secretar￭a"/>
        </w:smartTagPr>
        <w:r w:rsidRPr="0042374C">
          <w:rPr>
            <w:rFonts w:ascii="Arial" w:hAnsi="Arial" w:cs="Arial"/>
            <w:sz w:val="21"/>
            <w:szCs w:val="21"/>
          </w:rPr>
          <w:t>la Secretaría</w:t>
        </w:r>
      </w:smartTag>
      <w:r w:rsidRPr="0042374C">
        <w:rPr>
          <w:rFonts w:ascii="Arial" w:hAnsi="Arial" w:cs="Arial"/>
          <w:sz w:val="21"/>
          <w:szCs w:val="21"/>
        </w:rPr>
        <w:t xml:space="preserve"> de Finanzas, en el ámbito de sus respectivas competencias, también se incluyen en este procedimiento los ingresos por servicios escolares que presten las Instituciones Educativas.</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AE3245" w:rsidRPr="005E08E7" w:rsidRDefault="00AE3245" w:rsidP="005E08E7">
      <w:pPr>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lastRenderedPageBreak/>
        <w:t>Provisiones</w:t>
      </w:r>
    </w:p>
    <w:p w:rsidR="005E08E7" w:rsidRPr="005E08E7" w:rsidRDefault="005E08E7" w:rsidP="005E08E7">
      <w:pPr>
        <w:rPr>
          <w:rFonts w:ascii="Arial" w:hAnsi="Arial" w:cs="Arial"/>
          <w:sz w:val="21"/>
          <w:szCs w:val="21"/>
        </w:rPr>
      </w:pPr>
      <w:r w:rsidRPr="005E08E7">
        <w:rPr>
          <w:rFonts w:ascii="Arial" w:hAnsi="Arial" w:cs="Arial"/>
          <w:sz w:val="21"/>
          <w:szCs w:val="21"/>
        </w:rPr>
        <w:t>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pérdidas por robo o mermas, atención médica a pacientes no derechohabientes y créditos otorgados a corto y mediano plazo.</w:t>
      </w: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B7151A">
        <w:rPr>
          <w:rFonts w:ascii="Arial" w:hAnsi="Arial" w:cs="Arial"/>
          <w:sz w:val="21"/>
          <w:szCs w:val="21"/>
        </w:rPr>
        <w:t>31</w:t>
      </w:r>
      <w:r w:rsidR="000F347D">
        <w:rPr>
          <w:rFonts w:ascii="Arial" w:hAnsi="Arial" w:cs="Arial"/>
          <w:sz w:val="21"/>
          <w:szCs w:val="21"/>
        </w:rPr>
        <w:t xml:space="preserve"> de </w:t>
      </w:r>
      <w:r w:rsidR="00B7151A">
        <w:rPr>
          <w:rFonts w:ascii="Arial" w:hAnsi="Arial" w:cs="Arial"/>
          <w:sz w:val="21"/>
          <w:szCs w:val="21"/>
        </w:rPr>
        <w:t>marzo</w:t>
      </w:r>
      <w:r w:rsidR="000F347D">
        <w:rPr>
          <w:rFonts w:ascii="Arial" w:hAnsi="Arial" w:cs="Arial"/>
          <w:sz w:val="21"/>
          <w:szCs w:val="21"/>
        </w:rPr>
        <w:t xml:space="preserve"> de </w:t>
      </w:r>
      <w:r w:rsidRPr="005E08E7">
        <w:rPr>
          <w:rFonts w:ascii="Arial" w:hAnsi="Arial" w:cs="Arial"/>
          <w:sz w:val="21"/>
          <w:szCs w:val="21"/>
        </w:rPr>
        <w:t>201</w:t>
      </w:r>
      <w:r w:rsidR="00876D75">
        <w:rPr>
          <w:rFonts w:ascii="Arial" w:hAnsi="Arial" w:cs="Arial"/>
          <w:sz w:val="21"/>
          <w:szCs w:val="21"/>
        </w:rPr>
        <w:t>5</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E8756D">
      <w:pPr>
        <w:rPr>
          <w:rFonts w:ascii="Arial" w:hAnsi="Arial" w:cs="Arial"/>
          <w:sz w:val="21"/>
          <w:szCs w:val="21"/>
        </w:rPr>
      </w:pPr>
      <w:r>
        <w:rPr>
          <w:rFonts w:ascii="Arial" w:hAnsi="Arial" w:cs="Arial"/>
          <w:sz w:val="21"/>
          <w:szCs w:val="21"/>
        </w:rPr>
        <w:t xml:space="preserve">                    (RUBRICA)</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(RUBRICA)</w:t>
      </w:r>
    </w:p>
    <w:tbl>
      <w:tblPr>
        <w:tblW w:w="0" w:type="auto"/>
        <w:jc w:val="center"/>
        <w:tblLook w:val="01E0"/>
      </w:tblPr>
      <w:tblGrid>
        <w:gridCol w:w="512"/>
        <w:gridCol w:w="513"/>
        <w:gridCol w:w="513"/>
        <w:gridCol w:w="513"/>
        <w:gridCol w:w="513"/>
        <w:gridCol w:w="513"/>
        <w:gridCol w:w="517"/>
        <w:gridCol w:w="514"/>
        <w:gridCol w:w="513"/>
        <w:gridCol w:w="1301"/>
        <w:gridCol w:w="522"/>
        <w:gridCol w:w="522"/>
        <w:gridCol w:w="522"/>
        <w:gridCol w:w="522"/>
        <w:gridCol w:w="522"/>
        <w:gridCol w:w="522"/>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M. en D. José Cesar Lima Cervantes</w:t>
            </w:r>
          </w:p>
        </w:tc>
      </w:tr>
      <w:tr w:rsidR="00E624AF" w:rsidRPr="009F7C42" w:rsidTr="00791211">
        <w:trPr>
          <w:jc w:val="center"/>
        </w:trPr>
        <w:tc>
          <w:tcPr>
            <w:tcW w:w="3934" w:type="dxa"/>
            <w:gridSpan w:val="7"/>
          </w:tcPr>
          <w:p w:rsidR="00E624AF" w:rsidRPr="009F7C42" w:rsidRDefault="00E624AF" w:rsidP="00876D75">
            <w:pPr>
              <w:jc w:val="center"/>
              <w:rPr>
                <w:rFonts w:ascii="Arial" w:hAnsi="Arial" w:cs="Arial"/>
                <w:sz w:val="21"/>
                <w:szCs w:val="21"/>
              </w:rPr>
            </w:pPr>
            <w:r w:rsidRPr="009F7C42">
              <w:rPr>
                <w:rFonts w:ascii="Arial" w:hAnsi="Arial" w:cs="Arial"/>
                <w:sz w:val="21"/>
                <w:szCs w:val="21"/>
              </w:rPr>
              <w:t>Jef</w:t>
            </w:r>
            <w:r w:rsidR="00876D75">
              <w:rPr>
                <w:rFonts w:ascii="Arial" w:hAnsi="Arial" w:cs="Arial"/>
                <w:sz w:val="21"/>
                <w:szCs w:val="21"/>
              </w:rPr>
              <w:t>e</w:t>
            </w:r>
            <w:r w:rsidRPr="009F7C42">
              <w:rPr>
                <w:rFonts w:ascii="Arial" w:hAnsi="Arial" w:cs="Arial"/>
                <w:sz w:val="21"/>
                <w:szCs w:val="21"/>
              </w:rPr>
              <w:t xml:space="preserve"> del Departamento de Recursos Financieros y Contabilidad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E8756D" w:rsidRPr="009F7C42" w:rsidRDefault="00E8756D" w:rsidP="00E8756D">
            <w:pPr>
              <w:jc w:val="center"/>
              <w:rPr>
                <w:rFonts w:ascii="Arial" w:hAnsi="Arial" w:cs="Arial"/>
                <w:sz w:val="21"/>
                <w:szCs w:val="21"/>
              </w:rPr>
            </w:pPr>
            <w:r>
              <w:rPr>
                <w:rFonts w:ascii="Arial" w:hAnsi="Arial" w:cs="Arial"/>
                <w:sz w:val="21"/>
                <w:szCs w:val="21"/>
              </w:rPr>
              <w:t>(RUBRICA)</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bl>
    <w:p w:rsidR="00791211" w:rsidRDefault="00791211" w:rsidP="00791211">
      <w:pPr>
        <w:autoSpaceDE w:val="0"/>
        <w:autoSpaceDN w:val="0"/>
        <w:adjustRightInd w:val="0"/>
        <w:jc w:val="center"/>
        <w:rPr>
          <w:rFonts w:ascii="Arial" w:hAnsi="Arial" w:cs="Arial"/>
          <w:b/>
          <w:smallCaps/>
          <w:sz w:val="32"/>
          <w:szCs w:val="32"/>
        </w:rPr>
      </w:pPr>
    </w:p>
    <w:p w:rsidR="001C415F" w:rsidRDefault="001C415F">
      <w:pPr>
        <w:rPr>
          <w:rFonts w:ascii="Arial" w:hAnsi="Arial" w:cs="Arial"/>
          <w:b/>
          <w:smallCaps/>
          <w:sz w:val="32"/>
          <w:szCs w:val="32"/>
        </w:rPr>
      </w:pPr>
    </w:p>
    <w:sectPr w:rsidR="001C415F" w:rsidSect="00A747D2">
      <w:headerReference w:type="default" r:id="rId8"/>
      <w:footerReference w:type="default" r:id="rId9"/>
      <w:pgSz w:w="12240" w:h="15840"/>
      <w:pgMar w:top="1417" w:right="1701" w:bottom="1417" w:left="1701" w:header="102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462" w:rsidRDefault="003F4462" w:rsidP="00B22A8E">
      <w:pPr>
        <w:spacing w:before="0" w:after="0" w:line="240" w:lineRule="auto"/>
      </w:pPr>
      <w:r>
        <w:separator/>
      </w:r>
    </w:p>
  </w:endnote>
  <w:endnote w:type="continuationSeparator" w:id="0">
    <w:p w:rsidR="003F4462" w:rsidRDefault="003F4462" w:rsidP="00B22A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58" w:rsidRDefault="00D50458">
    <w:pPr>
      <w:pStyle w:val="Piedepgina"/>
      <w:jc w:val="center"/>
    </w:pPr>
  </w:p>
  <w:p w:rsidR="00D50458" w:rsidRDefault="00D504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462" w:rsidRDefault="003F4462" w:rsidP="00B22A8E">
      <w:pPr>
        <w:spacing w:before="0" w:after="0" w:line="240" w:lineRule="auto"/>
      </w:pPr>
      <w:r>
        <w:separator/>
      </w:r>
    </w:p>
  </w:footnote>
  <w:footnote w:type="continuationSeparator" w:id="0">
    <w:p w:rsidR="003F4462" w:rsidRDefault="003F4462" w:rsidP="00B22A8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58" w:rsidRDefault="00D50458" w:rsidP="00B22A8E">
    <w:pPr>
      <w:pStyle w:val="Encabezado"/>
      <w:jc w:val="center"/>
      <w:rPr>
        <w:b/>
        <w:sz w:val="18"/>
        <w:szCs w:val="18"/>
      </w:rPr>
    </w:pPr>
    <w:r>
      <w:rPr>
        <w:b/>
        <w:noProof/>
        <w:sz w:val="18"/>
        <w:szCs w:val="18"/>
        <w:lang w:eastAsia="es-MX"/>
      </w:rPr>
      <w:drawing>
        <wp:anchor distT="0" distB="0" distL="114300" distR="114300" simplePos="0" relativeHeight="251659264" behindDoc="1" locked="0" layoutInCell="1" allowOverlap="1">
          <wp:simplePos x="0" y="0"/>
          <wp:positionH relativeFrom="column">
            <wp:posOffset>-946785</wp:posOffset>
          </wp:positionH>
          <wp:positionV relativeFrom="paragraph">
            <wp:posOffset>-438150</wp:posOffset>
          </wp:positionV>
          <wp:extent cx="1143000" cy="762000"/>
          <wp:effectExtent l="1905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b/>
        <w:noProof/>
        <w:sz w:val="18"/>
        <w:szCs w:val="18"/>
        <w:lang w:eastAsia="es-MX"/>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-438150</wp:posOffset>
          </wp:positionV>
          <wp:extent cx="1028700" cy="742950"/>
          <wp:effectExtent l="19050" t="0" r="0" b="0"/>
          <wp:wrapNone/>
          <wp:docPr id="4" name="Imagen 3" descr="LOGO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NTE"/>
                  <pic:cNvPicPr>
                    <a:picLocks noChangeAspect="1" noChangeArrowheads="1"/>
                  </pic:cNvPicPr>
                </pic:nvPicPr>
                <pic:blipFill>
                  <a:blip r:embed="rId2"/>
                  <a:srcRect/>
                  <a:stretch>
                    <a:fillRect/>
                  </a:stretch>
                </pic:blipFill>
                <pic:spPr bwMode="auto">
                  <a:xfrm>
                    <a:off x="0" y="0"/>
                    <a:ext cx="1028700"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7"/>
  </w:num>
  <w:num w:numId="5">
    <w:abstractNumId w:val="5"/>
  </w:num>
  <w:num w:numId="6">
    <w:abstractNumId w:val="8"/>
  </w:num>
  <w:num w:numId="7">
    <w:abstractNumId w:val="0"/>
  </w:num>
  <w:num w:numId="8">
    <w:abstractNumId w:val="9"/>
  </w:num>
  <w:num w:numId="9">
    <w:abstractNumId w:val="3"/>
  </w:num>
  <w:num w:numId="10">
    <w:abstractNumId w:val="6"/>
  </w:num>
  <w:num w:numId="11">
    <w:abstractNumId w:val="15"/>
  </w:num>
  <w:num w:numId="12">
    <w:abstractNumId w:val="2"/>
  </w:num>
  <w:num w:numId="13">
    <w:abstractNumId w:val="1"/>
  </w:num>
  <w:num w:numId="14">
    <w:abstractNumId w:val="4"/>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0970"/>
    <w:rsid w:val="0001063A"/>
    <w:rsid w:val="000156D9"/>
    <w:rsid w:val="00020EA1"/>
    <w:rsid w:val="000219CC"/>
    <w:rsid w:val="00041550"/>
    <w:rsid w:val="00044063"/>
    <w:rsid w:val="000452AD"/>
    <w:rsid w:val="00047063"/>
    <w:rsid w:val="000529D5"/>
    <w:rsid w:val="000864F6"/>
    <w:rsid w:val="00090C87"/>
    <w:rsid w:val="00096573"/>
    <w:rsid w:val="000A04BA"/>
    <w:rsid w:val="000C05D4"/>
    <w:rsid w:val="000C0A8F"/>
    <w:rsid w:val="000C3E62"/>
    <w:rsid w:val="000E1CAD"/>
    <w:rsid w:val="000E4D84"/>
    <w:rsid w:val="000F347D"/>
    <w:rsid w:val="001050A0"/>
    <w:rsid w:val="00105D38"/>
    <w:rsid w:val="00112501"/>
    <w:rsid w:val="00124816"/>
    <w:rsid w:val="001428AF"/>
    <w:rsid w:val="00155368"/>
    <w:rsid w:val="001B49DD"/>
    <w:rsid w:val="001C415F"/>
    <w:rsid w:val="001F79A3"/>
    <w:rsid w:val="002002F4"/>
    <w:rsid w:val="00205AB6"/>
    <w:rsid w:val="00233983"/>
    <w:rsid w:val="00255AA1"/>
    <w:rsid w:val="00262590"/>
    <w:rsid w:val="002B562D"/>
    <w:rsid w:val="002B6EF3"/>
    <w:rsid w:val="002C4B20"/>
    <w:rsid w:val="002C6533"/>
    <w:rsid w:val="002D552E"/>
    <w:rsid w:val="002E577C"/>
    <w:rsid w:val="00301C3E"/>
    <w:rsid w:val="003103A1"/>
    <w:rsid w:val="0031060A"/>
    <w:rsid w:val="00310A64"/>
    <w:rsid w:val="00314AAB"/>
    <w:rsid w:val="003203B0"/>
    <w:rsid w:val="00344D08"/>
    <w:rsid w:val="003565F0"/>
    <w:rsid w:val="00370A86"/>
    <w:rsid w:val="003811E1"/>
    <w:rsid w:val="00383FFA"/>
    <w:rsid w:val="00387BDE"/>
    <w:rsid w:val="00393F3C"/>
    <w:rsid w:val="003A5CE0"/>
    <w:rsid w:val="003A6DD2"/>
    <w:rsid w:val="003A7EBA"/>
    <w:rsid w:val="003B481C"/>
    <w:rsid w:val="003C3200"/>
    <w:rsid w:val="003C4766"/>
    <w:rsid w:val="003F224C"/>
    <w:rsid w:val="003F2E8D"/>
    <w:rsid w:val="003F4462"/>
    <w:rsid w:val="00410E1A"/>
    <w:rsid w:val="00420341"/>
    <w:rsid w:val="0042374C"/>
    <w:rsid w:val="00443A05"/>
    <w:rsid w:val="00460723"/>
    <w:rsid w:val="00460771"/>
    <w:rsid w:val="00462453"/>
    <w:rsid w:val="00467075"/>
    <w:rsid w:val="00467F0D"/>
    <w:rsid w:val="00476C5F"/>
    <w:rsid w:val="004774AE"/>
    <w:rsid w:val="004A58B8"/>
    <w:rsid w:val="004B41AD"/>
    <w:rsid w:val="004B68F3"/>
    <w:rsid w:val="004D11EC"/>
    <w:rsid w:val="004E0CAF"/>
    <w:rsid w:val="004E0E4B"/>
    <w:rsid w:val="00523ABB"/>
    <w:rsid w:val="00550A1A"/>
    <w:rsid w:val="00552ECF"/>
    <w:rsid w:val="00553A40"/>
    <w:rsid w:val="00556471"/>
    <w:rsid w:val="00561B19"/>
    <w:rsid w:val="00561D34"/>
    <w:rsid w:val="005621B0"/>
    <w:rsid w:val="00593D96"/>
    <w:rsid w:val="005B239B"/>
    <w:rsid w:val="005B33BE"/>
    <w:rsid w:val="005D59DD"/>
    <w:rsid w:val="005E08E7"/>
    <w:rsid w:val="005E5891"/>
    <w:rsid w:val="005F3231"/>
    <w:rsid w:val="005F73EF"/>
    <w:rsid w:val="00601BAF"/>
    <w:rsid w:val="00602C42"/>
    <w:rsid w:val="00607FE0"/>
    <w:rsid w:val="00610EE2"/>
    <w:rsid w:val="00611CEA"/>
    <w:rsid w:val="0061566B"/>
    <w:rsid w:val="006208C7"/>
    <w:rsid w:val="00632538"/>
    <w:rsid w:val="00646774"/>
    <w:rsid w:val="006479C1"/>
    <w:rsid w:val="00657677"/>
    <w:rsid w:val="00672CA8"/>
    <w:rsid w:val="006875F1"/>
    <w:rsid w:val="00691195"/>
    <w:rsid w:val="0069456D"/>
    <w:rsid w:val="006956FC"/>
    <w:rsid w:val="006A25AB"/>
    <w:rsid w:val="006B01F3"/>
    <w:rsid w:val="006C423B"/>
    <w:rsid w:val="006E33CC"/>
    <w:rsid w:val="006F0B4A"/>
    <w:rsid w:val="006F669D"/>
    <w:rsid w:val="00703FC6"/>
    <w:rsid w:val="00716C1C"/>
    <w:rsid w:val="0072196E"/>
    <w:rsid w:val="00736A10"/>
    <w:rsid w:val="00753145"/>
    <w:rsid w:val="007545AD"/>
    <w:rsid w:val="00765F72"/>
    <w:rsid w:val="00773A13"/>
    <w:rsid w:val="00781370"/>
    <w:rsid w:val="00791211"/>
    <w:rsid w:val="00793979"/>
    <w:rsid w:val="00796DC5"/>
    <w:rsid w:val="007A23D3"/>
    <w:rsid w:val="007B794F"/>
    <w:rsid w:val="007C563F"/>
    <w:rsid w:val="007C67B9"/>
    <w:rsid w:val="007D6670"/>
    <w:rsid w:val="007E2C35"/>
    <w:rsid w:val="007E46E9"/>
    <w:rsid w:val="0080342C"/>
    <w:rsid w:val="008160A3"/>
    <w:rsid w:val="00826463"/>
    <w:rsid w:val="00830258"/>
    <w:rsid w:val="008342E5"/>
    <w:rsid w:val="008344FC"/>
    <w:rsid w:val="00844B6F"/>
    <w:rsid w:val="00853B1D"/>
    <w:rsid w:val="0085555C"/>
    <w:rsid w:val="00863238"/>
    <w:rsid w:val="008653E1"/>
    <w:rsid w:val="0087558D"/>
    <w:rsid w:val="00876D75"/>
    <w:rsid w:val="00891A22"/>
    <w:rsid w:val="00895BD4"/>
    <w:rsid w:val="008971F2"/>
    <w:rsid w:val="008D0FD3"/>
    <w:rsid w:val="008D2F4C"/>
    <w:rsid w:val="008E0B10"/>
    <w:rsid w:val="008E1555"/>
    <w:rsid w:val="008F1E7E"/>
    <w:rsid w:val="008F4A2E"/>
    <w:rsid w:val="008F4FF9"/>
    <w:rsid w:val="009202C7"/>
    <w:rsid w:val="0092150D"/>
    <w:rsid w:val="00922B91"/>
    <w:rsid w:val="009338D2"/>
    <w:rsid w:val="009473B3"/>
    <w:rsid w:val="00947F2F"/>
    <w:rsid w:val="009518A0"/>
    <w:rsid w:val="00952E1E"/>
    <w:rsid w:val="00957152"/>
    <w:rsid w:val="00962023"/>
    <w:rsid w:val="009752AF"/>
    <w:rsid w:val="009763AF"/>
    <w:rsid w:val="00977143"/>
    <w:rsid w:val="00990BD7"/>
    <w:rsid w:val="009B004B"/>
    <w:rsid w:val="009C455A"/>
    <w:rsid w:val="009C5680"/>
    <w:rsid w:val="009C57C0"/>
    <w:rsid w:val="009C61A9"/>
    <w:rsid w:val="009D2057"/>
    <w:rsid w:val="009D5A96"/>
    <w:rsid w:val="009E2E64"/>
    <w:rsid w:val="009F7C42"/>
    <w:rsid w:val="00A13580"/>
    <w:rsid w:val="00A24CA1"/>
    <w:rsid w:val="00A314C3"/>
    <w:rsid w:val="00A334BF"/>
    <w:rsid w:val="00A3358B"/>
    <w:rsid w:val="00A354D1"/>
    <w:rsid w:val="00A51543"/>
    <w:rsid w:val="00A747D2"/>
    <w:rsid w:val="00AA7CFC"/>
    <w:rsid w:val="00AC2965"/>
    <w:rsid w:val="00AC6B64"/>
    <w:rsid w:val="00AE3245"/>
    <w:rsid w:val="00AE54A9"/>
    <w:rsid w:val="00AE5E99"/>
    <w:rsid w:val="00B06D6B"/>
    <w:rsid w:val="00B15114"/>
    <w:rsid w:val="00B216F7"/>
    <w:rsid w:val="00B21ED0"/>
    <w:rsid w:val="00B22A8E"/>
    <w:rsid w:val="00B31772"/>
    <w:rsid w:val="00B33BF7"/>
    <w:rsid w:val="00B40970"/>
    <w:rsid w:val="00B4634A"/>
    <w:rsid w:val="00B5136F"/>
    <w:rsid w:val="00B645D3"/>
    <w:rsid w:val="00B7151A"/>
    <w:rsid w:val="00B73A9D"/>
    <w:rsid w:val="00B842A0"/>
    <w:rsid w:val="00B84CDC"/>
    <w:rsid w:val="00BB3E49"/>
    <w:rsid w:val="00BC5EE7"/>
    <w:rsid w:val="00BC71C8"/>
    <w:rsid w:val="00BD3E07"/>
    <w:rsid w:val="00BF31F1"/>
    <w:rsid w:val="00BF5C54"/>
    <w:rsid w:val="00C037A8"/>
    <w:rsid w:val="00C041B0"/>
    <w:rsid w:val="00C0457F"/>
    <w:rsid w:val="00C063D7"/>
    <w:rsid w:val="00C06A7F"/>
    <w:rsid w:val="00C3186F"/>
    <w:rsid w:val="00C4640F"/>
    <w:rsid w:val="00C47B7F"/>
    <w:rsid w:val="00C5335B"/>
    <w:rsid w:val="00C54EAF"/>
    <w:rsid w:val="00C718C9"/>
    <w:rsid w:val="00C833FA"/>
    <w:rsid w:val="00C84CAB"/>
    <w:rsid w:val="00CA4349"/>
    <w:rsid w:val="00CB3B13"/>
    <w:rsid w:val="00CC51D1"/>
    <w:rsid w:val="00CC6A83"/>
    <w:rsid w:val="00CC7CEA"/>
    <w:rsid w:val="00CD7580"/>
    <w:rsid w:val="00CF11DB"/>
    <w:rsid w:val="00CF4D8C"/>
    <w:rsid w:val="00D00D5F"/>
    <w:rsid w:val="00D12F52"/>
    <w:rsid w:val="00D22EE9"/>
    <w:rsid w:val="00D32FC7"/>
    <w:rsid w:val="00D34AAA"/>
    <w:rsid w:val="00D353DA"/>
    <w:rsid w:val="00D418B2"/>
    <w:rsid w:val="00D50458"/>
    <w:rsid w:val="00D67E5E"/>
    <w:rsid w:val="00D70639"/>
    <w:rsid w:val="00D752C5"/>
    <w:rsid w:val="00D7642D"/>
    <w:rsid w:val="00D8488F"/>
    <w:rsid w:val="00D85B26"/>
    <w:rsid w:val="00D93F31"/>
    <w:rsid w:val="00D976A0"/>
    <w:rsid w:val="00DB40CD"/>
    <w:rsid w:val="00DD0CC0"/>
    <w:rsid w:val="00DD2E1B"/>
    <w:rsid w:val="00DE3879"/>
    <w:rsid w:val="00E03286"/>
    <w:rsid w:val="00E04AEB"/>
    <w:rsid w:val="00E054F3"/>
    <w:rsid w:val="00E07ACD"/>
    <w:rsid w:val="00E143A7"/>
    <w:rsid w:val="00E16A37"/>
    <w:rsid w:val="00E31818"/>
    <w:rsid w:val="00E33E7E"/>
    <w:rsid w:val="00E343A5"/>
    <w:rsid w:val="00E47A52"/>
    <w:rsid w:val="00E50D71"/>
    <w:rsid w:val="00E624AF"/>
    <w:rsid w:val="00E653D7"/>
    <w:rsid w:val="00E674B9"/>
    <w:rsid w:val="00E8756D"/>
    <w:rsid w:val="00E95738"/>
    <w:rsid w:val="00EC3550"/>
    <w:rsid w:val="00ED0199"/>
    <w:rsid w:val="00ED13FB"/>
    <w:rsid w:val="00EF7BDE"/>
    <w:rsid w:val="00F178E4"/>
    <w:rsid w:val="00F36788"/>
    <w:rsid w:val="00F43D9B"/>
    <w:rsid w:val="00F509BA"/>
    <w:rsid w:val="00F532F8"/>
    <w:rsid w:val="00F70F5D"/>
    <w:rsid w:val="00F76A32"/>
    <w:rsid w:val="00F76C48"/>
    <w:rsid w:val="00F85079"/>
    <w:rsid w:val="00FB1191"/>
    <w:rsid w:val="00FB5809"/>
    <w:rsid w:val="00FB6F67"/>
    <w:rsid w:val="00FD4A5B"/>
    <w:rsid w:val="00FE0455"/>
    <w:rsid w:val="00FF2C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A8"/>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Epgrafe">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A8"/>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Epgrafe">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BC03-E7D6-49B4-9FFA-B1BF8C49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4038</Words>
  <Characters>22211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Recursos</cp:lastModifiedBy>
  <cp:revision>4</cp:revision>
  <cp:lastPrinted>2015-02-27T00:09:00Z</cp:lastPrinted>
  <dcterms:created xsi:type="dcterms:W3CDTF">2015-04-23T23:24:00Z</dcterms:created>
  <dcterms:modified xsi:type="dcterms:W3CDTF">2015-04-23T23:39:00Z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